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33E8" w14:textId="6458C0E7" w:rsidR="001F290F" w:rsidRPr="00FF7306" w:rsidRDefault="0017471E" w:rsidP="0017471E">
      <w:pPr>
        <w:ind w:left="567" w:hanging="567"/>
        <w:rPr>
          <w:color w:val="000000" w:themeColor="text1"/>
        </w:rPr>
      </w:pPr>
      <w:r w:rsidRPr="00FF7306">
        <w:rPr>
          <w:color w:val="000000" w:themeColor="text1"/>
        </w:rPr>
        <w:tab/>
      </w:r>
      <w:r w:rsidR="00C3178A" w:rsidRPr="00FF7306">
        <w:rPr>
          <w:color w:val="000000" w:themeColor="text1"/>
        </w:rPr>
        <w:t xml:space="preserve">Preamble </w:t>
      </w:r>
      <w:r w:rsidRPr="00FF7306">
        <w:rPr>
          <w:color w:val="000000" w:themeColor="text1"/>
        </w:rPr>
        <w:t>–</w:t>
      </w:r>
      <w:r w:rsidR="00C3178A" w:rsidRPr="00FF7306">
        <w:rPr>
          <w:color w:val="000000" w:themeColor="text1"/>
        </w:rPr>
        <w:t xml:space="preserve"> </w:t>
      </w:r>
      <w:r w:rsidR="001F290F" w:rsidRPr="00FF7306">
        <w:rPr>
          <w:color w:val="000000" w:themeColor="text1"/>
        </w:rPr>
        <w:t>Things we need to stress</w:t>
      </w:r>
    </w:p>
    <w:p w14:paraId="59FC9D89" w14:textId="60D21DF4" w:rsidR="001F290F" w:rsidRPr="009D2989" w:rsidRDefault="001F290F" w:rsidP="009D2989">
      <w:pPr>
        <w:ind w:left="567"/>
        <w:rPr>
          <w:color w:val="000000" w:themeColor="text1"/>
          <w:sz w:val="22"/>
          <w:szCs w:val="22"/>
        </w:rPr>
      </w:pPr>
      <w:r w:rsidRPr="00AD4F13">
        <w:rPr>
          <w:color w:val="000000" w:themeColor="text1"/>
          <w:sz w:val="22"/>
          <w:szCs w:val="22"/>
        </w:rPr>
        <w:t xml:space="preserve">The SEA believes that greater </w:t>
      </w:r>
      <w:r w:rsidR="00AD4F13">
        <w:rPr>
          <w:color w:val="000000" w:themeColor="text1"/>
          <w:sz w:val="22"/>
          <w:szCs w:val="22"/>
        </w:rPr>
        <w:t>stress</w:t>
      </w:r>
      <w:r w:rsidRPr="00AD4F13">
        <w:rPr>
          <w:color w:val="000000" w:themeColor="text1"/>
          <w:sz w:val="22"/>
          <w:szCs w:val="22"/>
        </w:rPr>
        <w:t xml:space="preserve"> should be </w:t>
      </w:r>
      <w:r w:rsidR="00AD4F13">
        <w:rPr>
          <w:color w:val="000000" w:themeColor="text1"/>
          <w:sz w:val="22"/>
          <w:szCs w:val="22"/>
        </w:rPr>
        <w:t>put on</w:t>
      </w:r>
      <w:r w:rsidRPr="00AD4F13">
        <w:rPr>
          <w:color w:val="000000" w:themeColor="text1"/>
          <w:sz w:val="22"/>
          <w:szCs w:val="22"/>
        </w:rPr>
        <w:t xml:space="preserve"> the educational advances in Wales</w:t>
      </w:r>
      <w:r w:rsidR="00C3178A" w:rsidRPr="00AD4F13">
        <w:rPr>
          <w:color w:val="000000" w:themeColor="text1"/>
          <w:sz w:val="22"/>
          <w:szCs w:val="22"/>
        </w:rPr>
        <w:t xml:space="preserve"> since devolution</w:t>
      </w:r>
      <w:r w:rsidRPr="00AD4F13">
        <w:rPr>
          <w:color w:val="000000" w:themeColor="text1"/>
          <w:sz w:val="22"/>
          <w:szCs w:val="22"/>
        </w:rPr>
        <w:t>.</w:t>
      </w:r>
      <w:r w:rsidR="00C3178A" w:rsidRPr="00AD4F13">
        <w:rPr>
          <w:color w:val="000000" w:themeColor="text1"/>
          <w:sz w:val="22"/>
          <w:szCs w:val="22"/>
        </w:rPr>
        <w:t xml:space="preserve"> </w:t>
      </w:r>
      <w:r w:rsidRPr="00AD4F13">
        <w:rPr>
          <w:color w:val="000000" w:themeColor="text1"/>
          <w:sz w:val="22"/>
          <w:szCs w:val="22"/>
        </w:rPr>
        <w:t>These include:</w:t>
      </w:r>
    </w:p>
    <w:p w14:paraId="202E6C12" w14:textId="588557D3" w:rsidR="001F290F" w:rsidRPr="00AD4F13" w:rsidRDefault="001F290F" w:rsidP="00AD4F13">
      <w:pPr>
        <w:pStyle w:val="ListParagraph"/>
        <w:numPr>
          <w:ilvl w:val="0"/>
          <w:numId w:val="19"/>
        </w:numPr>
        <w:ind w:left="567" w:hanging="567"/>
        <w:rPr>
          <w:color w:val="000000" w:themeColor="text1"/>
          <w:sz w:val="22"/>
          <w:szCs w:val="22"/>
        </w:rPr>
      </w:pPr>
      <w:r w:rsidRPr="00AD4F13">
        <w:rPr>
          <w:color w:val="000000" w:themeColor="text1"/>
          <w:sz w:val="22"/>
          <w:szCs w:val="22"/>
        </w:rPr>
        <w:t>The Foundation Phase,</w:t>
      </w:r>
    </w:p>
    <w:p w14:paraId="3A560AA0" w14:textId="0CCAD43E" w:rsidR="001F290F" w:rsidRPr="00AD4F13" w:rsidRDefault="001F290F" w:rsidP="00AD4F13">
      <w:pPr>
        <w:pStyle w:val="ListParagraph"/>
        <w:numPr>
          <w:ilvl w:val="0"/>
          <w:numId w:val="19"/>
        </w:numPr>
        <w:ind w:left="567" w:hanging="567"/>
        <w:rPr>
          <w:color w:val="000000" w:themeColor="text1"/>
          <w:sz w:val="22"/>
          <w:szCs w:val="22"/>
        </w:rPr>
      </w:pPr>
      <w:r w:rsidRPr="00AD4F13">
        <w:rPr>
          <w:color w:val="000000" w:themeColor="text1"/>
          <w:sz w:val="22"/>
          <w:szCs w:val="22"/>
        </w:rPr>
        <w:t xml:space="preserve">The support for Comprehensive education, </w:t>
      </w:r>
    </w:p>
    <w:p w14:paraId="345EFE3C" w14:textId="35CD5549" w:rsidR="001F290F" w:rsidRPr="00AD4F13" w:rsidRDefault="001F290F" w:rsidP="00AD4F13">
      <w:pPr>
        <w:pStyle w:val="ListParagraph"/>
        <w:numPr>
          <w:ilvl w:val="0"/>
          <w:numId w:val="19"/>
        </w:numPr>
        <w:ind w:left="567" w:hanging="567"/>
        <w:rPr>
          <w:color w:val="000000" w:themeColor="text1"/>
          <w:sz w:val="22"/>
          <w:szCs w:val="22"/>
        </w:rPr>
      </w:pPr>
      <w:r w:rsidRPr="00AD4F13">
        <w:rPr>
          <w:color w:val="000000" w:themeColor="text1"/>
          <w:sz w:val="22"/>
          <w:szCs w:val="22"/>
        </w:rPr>
        <w:t xml:space="preserve">The new Welsh curriculum, </w:t>
      </w:r>
    </w:p>
    <w:p w14:paraId="55BD02FD" w14:textId="77D4132C" w:rsidR="001F290F" w:rsidRPr="00AD4F13" w:rsidRDefault="001F290F" w:rsidP="00AD4F13">
      <w:pPr>
        <w:pStyle w:val="ListParagraph"/>
        <w:numPr>
          <w:ilvl w:val="0"/>
          <w:numId w:val="19"/>
        </w:numPr>
        <w:ind w:left="567" w:hanging="567"/>
        <w:rPr>
          <w:color w:val="000000" w:themeColor="text1"/>
          <w:sz w:val="22"/>
          <w:szCs w:val="22"/>
        </w:rPr>
      </w:pPr>
      <w:r w:rsidRPr="00AD4F13">
        <w:rPr>
          <w:color w:val="000000" w:themeColor="text1"/>
          <w:sz w:val="22"/>
          <w:szCs w:val="22"/>
        </w:rPr>
        <w:t>The Additional Learning Needs Act (Wales) 2018</w:t>
      </w:r>
      <w:r w:rsidR="009D2989">
        <w:rPr>
          <w:color w:val="000000" w:themeColor="text1"/>
          <w:sz w:val="22"/>
          <w:szCs w:val="22"/>
        </w:rPr>
        <w:t>,</w:t>
      </w:r>
    </w:p>
    <w:p w14:paraId="728702F8" w14:textId="7C33D8E2" w:rsidR="001F290F" w:rsidRPr="00AD4F13" w:rsidRDefault="001F290F" w:rsidP="00AD4F13">
      <w:pPr>
        <w:pStyle w:val="ListParagraph"/>
        <w:numPr>
          <w:ilvl w:val="0"/>
          <w:numId w:val="19"/>
        </w:numPr>
        <w:ind w:left="567" w:hanging="567"/>
        <w:rPr>
          <w:color w:val="000000" w:themeColor="text1"/>
          <w:sz w:val="22"/>
          <w:szCs w:val="22"/>
        </w:rPr>
      </w:pPr>
      <w:r w:rsidRPr="00AD4F13">
        <w:rPr>
          <w:color w:val="000000" w:themeColor="text1"/>
          <w:sz w:val="22"/>
          <w:szCs w:val="22"/>
        </w:rPr>
        <w:t xml:space="preserve">The retention of Local Authorities, </w:t>
      </w:r>
    </w:p>
    <w:p w14:paraId="3EE13BDC" w14:textId="77777777" w:rsidR="009D2989" w:rsidRDefault="001F290F" w:rsidP="00AD4F13">
      <w:pPr>
        <w:pStyle w:val="ListParagraph"/>
        <w:numPr>
          <w:ilvl w:val="0"/>
          <w:numId w:val="19"/>
        </w:numPr>
        <w:ind w:left="567" w:hanging="567"/>
        <w:rPr>
          <w:color w:val="000000" w:themeColor="text1"/>
          <w:sz w:val="22"/>
          <w:szCs w:val="22"/>
        </w:rPr>
      </w:pPr>
      <w:r w:rsidRPr="00AD4F13">
        <w:rPr>
          <w:color w:val="000000" w:themeColor="text1"/>
          <w:sz w:val="22"/>
          <w:szCs w:val="22"/>
        </w:rPr>
        <w:t>The Welsh Baccalaureate,</w:t>
      </w:r>
      <w:r w:rsidR="009D2989" w:rsidRPr="009D2989">
        <w:rPr>
          <w:color w:val="000000" w:themeColor="text1"/>
          <w:sz w:val="22"/>
          <w:szCs w:val="22"/>
        </w:rPr>
        <w:t xml:space="preserve"> </w:t>
      </w:r>
    </w:p>
    <w:p w14:paraId="047E0F91" w14:textId="2C1E7F46" w:rsidR="001F290F" w:rsidRDefault="009D2989" w:rsidP="00AD4F13">
      <w:pPr>
        <w:pStyle w:val="ListParagraph"/>
        <w:numPr>
          <w:ilvl w:val="0"/>
          <w:numId w:val="19"/>
        </w:numPr>
        <w:ind w:left="567" w:hanging="567"/>
        <w:rPr>
          <w:color w:val="000000" w:themeColor="text1"/>
          <w:sz w:val="22"/>
          <w:szCs w:val="22"/>
        </w:rPr>
      </w:pPr>
      <w:r w:rsidRPr="00AD4F13">
        <w:rPr>
          <w:color w:val="000000" w:themeColor="text1"/>
          <w:sz w:val="22"/>
          <w:szCs w:val="22"/>
        </w:rPr>
        <w:t>The 21</w:t>
      </w:r>
      <w:r w:rsidRPr="00AD4F13">
        <w:rPr>
          <w:color w:val="000000" w:themeColor="text1"/>
          <w:sz w:val="22"/>
          <w:szCs w:val="22"/>
          <w:vertAlign w:val="superscript"/>
        </w:rPr>
        <w:t>st</w:t>
      </w:r>
      <w:r w:rsidRPr="00AD4F13">
        <w:rPr>
          <w:color w:val="000000" w:themeColor="text1"/>
          <w:sz w:val="22"/>
          <w:szCs w:val="22"/>
        </w:rPr>
        <w:t xml:space="preserve"> Century Schools’ Programme</w:t>
      </w:r>
      <w:r>
        <w:rPr>
          <w:color w:val="000000" w:themeColor="text1"/>
          <w:sz w:val="22"/>
          <w:szCs w:val="22"/>
        </w:rPr>
        <w:t>.</w:t>
      </w:r>
    </w:p>
    <w:p w14:paraId="1652AF03" w14:textId="72700FB6" w:rsidR="007948CD" w:rsidRPr="007948CD" w:rsidRDefault="007948CD" w:rsidP="007948CD">
      <w:pPr>
        <w:ind w:left="567" w:hanging="567"/>
        <w:rPr>
          <w:color w:val="000000" w:themeColor="text1"/>
          <w:sz w:val="22"/>
          <w:szCs w:val="22"/>
        </w:rPr>
      </w:pPr>
      <w:r>
        <w:rPr>
          <w:color w:val="000000" w:themeColor="text1"/>
          <w:sz w:val="22"/>
          <w:szCs w:val="22"/>
        </w:rPr>
        <w:tab/>
        <w:t>The SEA welcomes the fact that schools will not re-open until it is demonstrably safe to do so. We believe that this statement has implication for future class sizes.</w:t>
      </w:r>
    </w:p>
    <w:p w14:paraId="3928061A" w14:textId="4F7EF095" w:rsidR="001F290F" w:rsidRPr="00E30F19" w:rsidRDefault="001F290F" w:rsidP="00AD4F13">
      <w:pPr>
        <w:ind w:left="567" w:hanging="567"/>
        <w:rPr>
          <w:b/>
          <w:color w:val="000000" w:themeColor="text1"/>
        </w:rPr>
      </w:pPr>
    </w:p>
    <w:p w14:paraId="19F7C591" w14:textId="2665EE84" w:rsidR="005E6621" w:rsidRPr="00E30F19" w:rsidRDefault="00417607" w:rsidP="0017471E">
      <w:pPr>
        <w:ind w:left="567" w:hanging="567"/>
        <w:rPr>
          <w:b/>
          <w:color w:val="000000" w:themeColor="text1"/>
        </w:rPr>
      </w:pPr>
      <w:r w:rsidRPr="00E30F19">
        <w:rPr>
          <w:b/>
          <w:color w:val="000000" w:themeColor="text1"/>
        </w:rPr>
        <w:t>A]</w:t>
      </w:r>
      <w:r w:rsidRPr="00E30F19">
        <w:rPr>
          <w:b/>
          <w:color w:val="000000" w:themeColor="text1"/>
        </w:rPr>
        <w:tab/>
      </w:r>
      <w:r w:rsidR="00996D08" w:rsidRPr="00E30F19">
        <w:rPr>
          <w:b/>
          <w:color w:val="000000" w:themeColor="text1"/>
        </w:rPr>
        <w:t>A great school in every community</w:t>
      </w:r>
    </w:p>
    <w:p w14:paraId="575EC783" w14:textId="6FF7C5C2" w:rsidR="00DE1FCF" w:rsidRPr="007948CD" w:rsidRDefault="00996D08" w:rsidP="0017471E">
      <w:pPr>
        <w:pStyle w:val="ListParagraph"/>
        <w:numPr>
          <w:ilvl w:val="0"/>
          <w:numId w:val="5"/>
        </w:numPr>
        <w:ind w:left="567" w:hanging="567"/>
        <w:rPr>
          <w:b/>
          <w:color w:val="000000" w:themeColor="text1"/>
          <w:sz w:val="22"/>
          <w:szCs w:val="22"/>
        </w:rPr>
      </w:pPr>
      <w:r w:rsidRPr="00DF57A0">
        <w:rPr>
          <w:b/>
          <w:color w:val="000000" w:themeColor="text1"/>
          <w:sz w:val="22"/>
          <w:szCs w:val="22"/>
        </w:rPr>
        <w:t>Welsh Labour is committed to the comprehensive principle and believes that selection has no place in the Welsh Education System.</w:t>
      </w:r>
      <w:r w:rsidR="001F290F" w:rsidRPr="00DF57A0">
        <w:rPr>
          <w:b/>
          <w:color w:val="000000" w:themeColor="text1"/>
          <w:sz w:val="22"/>
          <w:szCs w:val="22"/>
        </w:rPr>
        <w:t xml:space="preserve"> </w:t>
      </w:r>
      <w:r w:rsidR="00DE1FCF" w:rsidRPr="007948CD">
        <w:rPr>
          <w:color w:val="000000" w:themeColor="text1"/>
          <w:sz w:val="22"/>
          <w:szCs w:val="22"/>
        </w:rPr>
        <w:t>The SEA welcomes this statement.</w:t>
      </w:r>
    </w:p>
    <w:p w14:paraId="6B955E2C" w14:textId="350066E0" w:rsidR="00DE1FCF" w:rsidRPr="007948CD" w:rsidRDefault="00996D08" w:rsidP="0017471E">
      <w:pPr>
        <w:pStyle w:val="ListParagraph"/>
        <w:numPr>
          <w:ilvl w:val="0"/>
          <w:numId w:val="5"/>
        </w:numPr>
        <w:ind w:left="567" w:hanging="567"/>
        <w:rPr>
          <w:b/>
          <w:color w:val="000000" w:themeColor="text1"/>
          <w:sz w:val="22"/>
          <w:szCs w:val="22"/>
        </w:rPr>
      </w:pPr>
      <w:r w:rsidRPr="00DF57A0">
        <w:rPr>
          <w:b/>
          <w:color w:val="000000" w:themeColor="text1"/>
          <w:sz w:val="22"/>
          <w:szCs w:val="22"/>
        </w:rPr>
        <w:t>It completely rejects the Tory model of Free Schools.</w:t>
      </w:r>
      <w:r w:rsidR="007948CD">
        <w:rPr>
          <w:b/>
          <w:color w:val="000000" w:themeColor="text1"/>
          <w:sz w:val="22"/>
          <w:szCs w:val="22"/>
        </w:rPr>
        <w:t xml:space="preserve"> </w:t>
      </w:r>
      <w:r w:rsidR="00AD4F13" w:rsidRPr="007948CD">
        <w:rPr>
          <w:color w:val="000000" w:themeColor="text1"/>
          <w:sz w:val="22"/>
          <w:szCs w:val="22"/>
        </w:rPr>
        <w:t>The SEA welcomes this statement – but wishes to extend it to include Academies, Foundation Schools and Private Schools. We also wish to remove charitable status from private education.</w:t>
      </w:r>
    </w:p>
    <w:p w14:paraId="28D174D2" w14:textId="63C46063" w:rsidR="00DE1FCF" w:rsidRPr="007948CD" w:rsidRDefault="00996D08" w:rsidP="0017471E">
      <w:pPr>
        <w:pStyle w:val="ListParagraph"/>
        <w:numPr>
          <w:ilvl w:val="0"/>
          <w:numId w:val="5"/>
        </w:numPr>
        <w:ind w:left="567" w:hanging="567"/>
        <w:rPr>
          <w:b/>
          <w:color w:val="000000" w:themeColor="text1"/>
          <w:sz w:val="22"/>
          <w:szCs w:val="22"/>
        </w:rPr>
      </w:pPr>
      <w:r w:rsidRPr="00DF57A0">
        <w:rPr>
          <w:b/>
          <w:color w:val="000000" w:themeColor="text1"/>
          <w:sz w:val="22"/>
          <w:szCs w:val="22"/>
        </w:rPr>
        <w:t xml:space="preserve">It supports the democratic role of Local Authorities </w:t>
      </w:r>
      <w:r w:rsidR="00DE1FCF" w:rsidRPr="00DF57A0">
        <w:rPr>
          <w:b/>
          <w:color w:val="000000" w:themeColor="text1"/>
          <w:sz w:val="22"/>
          <w:szCs w:val="22"/>
        </w:rPr>
        <w:t xml:space="preserve">(LAs) </w:t>
      </w:r>
      <w:r w:rsidRPr="00DF57A0">
        <w:rPr>
          <w:b/>
          <w:color w:val="000000" w:themeColor="text1"/>
          <w:sz w:val="22"/>
          <w:szCs w:val="22"/>
        </w:rPr>
        <w:t>…</w:t>
      </w:r>
      <w:r w:rsidR="007948CD">
        <w:rPr>
          <w:b/>
          <w:color w:val="000000" w:themeColor="text1"/>
          <w:sz w:val="22"/>
          <w:szCs w:val="22"/>
        </w:rPr>
        <w:t xml:space="preserve"> </w:t>
      </w:r>
      <w:r w:rsidR="00DE1FCF" w:rsidRPr="007948CD">
        <w:rPr>
          <w:color w:val="000000" w:themeColor="text1"/>
          <w:sz w:val="22"/>
          <w:szCs w:val="22"/>
        </w:rPr>
        <w:t>The SEA welcomes this statement – but wants clarification of the role of Local Authorities</w:t>
      </w:r>
      <w:r w:rsidR="00D30CDA">
        <w:rPr>
          <w:color w:val="000000" w:themeColor="text1"/>
          <w:sz w:val="22"/>
          <w:szCs w:val="22"/>
        </w:rPr>
        <w:t xml:space="preserve">. </w:t>
      </w:r>
      <w:r w:rsidR="00DE1FCF" w:rsidRPr="007948CD">
        <w:rPr>
          <w:color w:val="000000" w:themeColor="text1"/>
          <w:sz w:val="22"/>
          <w:szCs w:val="22"/>
        </w:rPr>
        <w:t xml:space="preserve">We would like a statement that Local Authorities will be </w:t>
      </w:r>
      <w:r w:rsidR="004158C9" w:rsidRPr="007948CD">
        <w:rPr>
          <w:color w:val="000000" w:themeColor="text1"/>
          <w:sz w:val="22"/>
          <w:szCs w:val="22"/>
        </w:rPr>
        <w:t>asked to discuss r</w:t>
      </w:r>
      <w:r w:rsidR="00DE1FCF" w:rsidRPr="007948CD">
        <w:rPr>
          <w:color w:val="000000" w:themeColor="text1"/>
          <w:sz w:val="22"/>
          <w:szCs w:val="22"/>
        </w:rPr>
        <w:t>educ</w:t>
      </w:r>
      <w:r w:rsidR="004158C9" w:rsidRPr="007948CD">
        <w:rPr>
          <w:color w:val="000000" w:themeColor="text1"/>
          <w:sz w:val="22"/>
          <w:szCs w:val="22"/>
        </w:rPr>
        <w:t>ing</w:t>
      </w:r>
      <w:r w:rsidR="00DE1FCF" w:rsidRPr="007948CD">
        <w:rPr>
          <w:color w:val="000000" w:themeColor="text1"/>
          <w:sz w:val="22"/>
          <w:szCs w:val="22"/>
        </w:rPr>
        <w:t xml:space="preserve"> in number such that all are </w:t>
      </w:r>
      <w:r w:rsidR="004158C9" w:rsidRPr="007948CD">
        <w:rPr>
          <w:color w:val="000000" w:themeColor="text1"/>
          <w:sz w:val="22"/>
          <w:szCs w:val="22"/>
        </w:rPr>
        <w:t xml:space="preserve">big enough to be </w:t>
      </w:r>
      <w:r w:rsidR="00DE1FCF" w:rsidRPr="007948CD">
        <w:rPr>
          <w:color w:val="000000" w:themeColor="text1"/>
          <w:sz w:val="22"/>
          <w:szCs w:val="22"/>
        </w:rPr>
        <w:t>able to discharge their responsibilities.</w:t>
      </w:r>
      <w:r w:rsidR="007948CD">
        <w:rPr>
          <w:color w:val="000000" w:themeColor="text1"/>
          <w:sz w:val="22"/>
          <w:szCs w:val="22"/>
        </w:rPr>
        <w:t xml:space="preserve"> </w:t>
      </w:r>
      <w:r w:rsidR="00D30CDA">
        <w:rPr>
          <w:color w:val="000000" w:themeColor="text1"/>
          <w:sz w:val="22"/>
          <w:szCs w:val="22"/>
        </w:rPr>
        <w:t>It would then be possible for them to</w:t>
      </w:r>
      <w:r w:rsidR="007948CD">
        <w:rPr>
          <w:color w:val="000000" w:themeColor="text1"/>
          <w:sz w:val="22"/>
          <w:szCs w:val="22"/>
        </w:rPr>
        <w:t xml:space="preserve"> be re-skilled </w:t>
      </w:r>
      <w:r w:rsidR="00D30CDA">
        <w:rPr>
          <w:color w:val="000000" w:themeColor="text1"/>
          <w:sz w:val="22"/>
          <w:szCs w:val="22"/>
        </w:rPr>
        <w:t>and take up th</w:t>
      </w:r>
      <w:r w:rsidR="001D7955">
        <w:rPr>
          <w:color w:val="000000" w:themeColor="text1"/>
          <w:sz w:val="22"/>
          <w:szCs w:val="22"/>
        </w:rPr>
        <w:t xml:space="preserve">eir full role </w:t>
      </w:r>
      <w:r w:rsidR="007948CD">
        <w:rPr>
          <w:color w:val="000000" w:themeColor="text1"/>
          <w:sz w:val="22"/>
          <w:szCs w:val="22"/>
        </w:rPr>
        <w:t xml:space="preserve">– </w:t>
      </w:r>
      <w:r w:rsidR="001D7955">
        <w:rPr>
          <w:color w:val="000000" w:themeColor="text1"/>
          <w:sz w:val="22"/>
          <w:szCs w:val="22"/>
        </w:rPr>
        <w:t>so that</w:t>
      </w:r>
      <w:bookmarkStart w:id="0" w:name="_GoBack"/>
      <w:bookmarkEnd w:id="0"/>
      <w:r w:rsidR="007948CD">
        <w:rPr>
          <w:color w:val="000000" w:themeColor="text1"/>
          <w:sz w:val="22"/>
          <w:szCs w:val="22"/>
        </w:rPr>
        <w:t xml:space="preserve"> the need for Consortia would vanish.</w:t>
      </w:r>
    </w:p>
    <w:p w14:paraId="27BA0BE4" w14:textId="164DB269" w:rsidR="00DE1FCF" w:rsidRPr="007948CD" w:rsidRDefault="00996D08" w:rsidP="0017471E">
      <w:pPr>
        <w:pStyle w:val="ListParagraph"/>
        <w:numPr>
          <w:ilvl w:val="0"/>
          <w:numId w:val="5"/>
        </w:numPr>
        <w:ind w:left="567" w:hanging="567"/>
        <w:rPr>
          <w:b/>
          <w:color w:val="000000" w:themeColor="text1"/>
          <w:sz w:val="22"/>
          <w:szCs w:val="22"/>
        </w:rPr>
      </w:pPr>
      <w:r w:rsidRPr="00DF57A0">
        <w:rPr>
          <w:b/>
          <w:color w:val="000000" w:themeColor="text1"/>
          <w:sz w:val="22"/>
          <w:szCs w:val="22"/>
        </w:rPr>
        <w:t>…and parity of esteem for vocational and academic routes.</w:t>
      </w:r>
      <w:r w:rsidR="007948CD">
        <w:rPr>
          <w:b/>
          <w:color w:val="000000" w:themeColor="text1"/>
          <w:sz w:val="22"/>
          <w:szCs w:val="22"/>
        </w:rPr>
        <w:t xml:space="preserve"> </w:t>
      </w:r>
      <w:r w:rsidR="00DE1FCF" w:rsidRPr="007948CD">
        <w:rPr>
          <w:color w:val="000000" w:themeColor="text1"/>
          <w:sz w:val="22"/>
          <w:szCs w:val="22"/>
        </w:rPr>
        <w:t>The SEA welcomes this statement.</w:t>
      </w:r>
    </w:p>
    <w:p w14:paraId="00DB7C53" w14:textId="125F1876" w:rsidR="00DE1FCF" w:rsidRPr="007948CD" w:rsidRDefault="00996D08" w:rsidP="0017471E">
      <w:pPr>
        <w:pStyle w:val="ListParagraph"/>
        <w:numPr>
          <w:ilvl w:val="0"/>
          <w:numId w:val="5"/>
        </w:numPr>
        <w:ind w:left="567" w:hanging="567"/>
        <w:rPr>
          <w:b/>
          <w:color w:val="000000" w:themeColor="text1"/>
          <w:sz w:val="22"/>
          <w:szCs w:val="22"/>
        </w:rPr>
      </w:pPr>
      <w:r w:rsidRPr="00DF57A0">
        <w:rPr>
          <w:b/>
          <w:color w:val="000000" w:themeColor="text1"/>
          <w:sz w:val="22"/>
          <w:szCs w:val="22"/>
        </w:rPr>
        <w:t>Welsh Labour has tried to ensure that every part of our education system gets the funding it needs to succeed.</w:t>
      </w:r>
      <w:r w:rsidR="007948CD">
        <w:rPr>
          <w:b/>
          <w:color w:val="000000" w:themeColor="text1"/>
          <w:sz w:val="22"/>
          <w:szCs w:val="22"/>
        </w:rPr>
        <w:t xml:space="preserve"> </w:t>
      </w:r>
      <w:r w:rsidR="00DE1FCF" w:rsidRPr="007948CD">
        <w:rPr>
          <w:color w:val="000000" w:themeColor="text1"/>
          <w:sz w:val="22"/>
          <w:szCs w:val="22"/>
        </w:rPr>
        <w:t>Labour must be honest about the funding that has been lost over 10 years of Tory austerity. The NEU is concerned that 942 schools in Wales (out of 1494 LA schools) have faced funding cuts. The NASUWT is concerned at the disparities that exist between Welsh Local Authorities.</w:t>
      </w:r>
    </w:p>
    <w:p w14:paraId="42F865CF" w14:textId="32D79905" w:rsidR="00DE1FCF" w:rsidRPr="007948CD" w:rsidRDefault="00996D08" w:rsidP="0017471E">
      <w:pPr>
        <w:pStyle w:val="ListParagraph"/>
        <w:numPr>
          <w:ilvl w:val="0"/>
          <w:numId w:val="5"/>
        </w:numPr>
        <w:ind w:left="567" w:hanging="567"/>
        <w:rPr>
          <w:b/>
          <w:color w:val="000000" w:themeColor="text1"/>
          <w:sz w:val="22"/>
          <w:szCs w:val="22"/>
        </w:rPr>
      </w:pPr>
      <w:r w:rsidRPr="00DF57A0">
        <w:rPr>
          <w:b/>
          <w:color w:val="000000" w:themeColor="text1"/>
          <w:sz w:val="22"/>
          <w:szCs w:val="22"/>
        </w:rPr>
        <w:t>It has made available over £100 million of additional funding for Welsh Schools in the last Assembly term.</w:t>
      </w:r>
      <w:r w:rsidR="001F290F" w:rsidRPr="00DF57A0">
        <w:rPr>
          <w:b/>
          <w:color w:val="000000" w:themeColor="text1"/>
          <w:sz w:val="22"/>
          <w:szCs w:val="22"/>
        </w:rPr>
        <w:t xml:space="preserve"> </w:t>
      </w:r>
      <w:r w:rsidR="001755BB" w:rsidRPr="007948CD">
        <w:rPr>
          <w:color w:val="000000" w:themeColor="text1"/>
          <w:sz w:val="22"/>
          <w:szCs w:val="22"/>
        </w:rPr>
        <w:t>This statement needs context – how does this sum relate to need?</w:t>
      </w:r>
    </w:p>
    <w:p w14:paraId="3B95A81F" w14:textId="77777777" w:rsidR="00996D08" w:rsidRPr="005E6621" w:rsidRDefault="00996D08" w:rsidP="00417607">
      <w:pPr>
        <w:pStyle w:val="ListParagraph"/>
        <w:ind w:left="426"/>
        <w:rPr>
          <w:sz w:val="22"/>
          <w:szCs w:val="22"/>
        </w:rPr>
      </w:pPr>
    </w:p>
    <w:p w14:paraId="5DE62CB5" w14:textId="751EF832" w:rsidR="005E6621" w:rsidRPr="00C3178A" w:rsidRDefault="00417607" w:rsidP="008E1558">
      <w:pPr>
        <w:ind w:left="426" w:hanging="426"/>
        <w:rPr>
          <w:b/>
          <w:color w:val="000000" w:themeColor="text1"/>
        </w:rPr>
      </w:pPr>
      <w:r w:rsidRPr="00C3178A">
        <w:rPr>
          <w:b/>
          <w:color w:val="000000" w:themeColor="text1"/>
        </w:rPr>
        <w:t>B]</w:t>
      </w:r>
      <w:r w:rsidRPr="00C3178A">
        <w:rPr>
          <w:b/>
          <w:color w:val="000000" w:themeColor="text1"/>
        </w:rPr>
        <w:tab/>
      </w:r>
      <w:r w:rsidR="00996D08" w:rsidRPr="00C3178A">
        <w:rPr>
          <w:b/>
          <w:color w:val="000000" w:themeColor="text1"/>
        </w:rPr>
        <w:t>21st Century Schools</w:t>
      </w:r>
    </w:p>
    <w:p w14:paraId="3701FFD7" w14:textId="000F4520" w:rsidR="001755BB" w:rsidRPr="007948CD" w:rsidRDefault="00417607" w:rsidP="00C3178A">
      <w:pPr>
        <w:pStyle w:val="ListParagraph"/>
        <w:numPr>
          <w:ilvl w:val="0"/>
          <w:numId w:val="20"/>
        </w:numPr>
        <w:ind w:left="567" w:hanging="567"/>
        <w:rPr>
          <w:b/>
          <w:color w:val="000000" w:themeColor="text1"/>
          <w:sz w:val="22"/>
          <w:szCs w:val="22"/>
        </w:rPr>
      </w:pPr>
      <w:r w:rsidRPr="00DF57A0">
        <w:rPr>
          <w:b/>
          <w:color w:val="000000" w:themeColor="text1"/>
          <w:sz w:val="22"/>
          <w:szCs w:val="22"/>
        </w:rPr>
        <w:t xml:space="preserve">The Welsh Government, working with partners in local government has invested £37 </w:t>
      </w:r>
      <w:r w:rsidR="001755BB" w:rsidRPr="00DF57A0">
        <w:rPr>
          <w:b/>
          <w:color w:val="000000" w:themeColor="text1"/>
          <w:sz w:val="22"/>
          <w:szCs w:val="22"/>
        </w:rPr>
        <w:t xml:space="preserve">million </w:t>
      </w:r>
      <w:r w:rsidRPr="00DF57A0">
        <w:rPr>
          <w:b/>
          <w:color w:val="000000" w:themeColor="text1"/>
          <w:sz w:val="22"/>
          <w:szCs w:val="22"/>
        </w:rPr>
        <w:t>in new and refurbished schools and colleges.</w:t>
      </w:r>
      <w:r w:rsidR="007948CD">
        <w:rPr>
          <w:b/>
          <w:color w:val="000000" w:themeColor="text1"/>
          <w:sz w:val="22"/>
          <w:szCs w:val="22"/>
        </w:rPr>
        <w:t xml:space="preserve"> </w:t>
      </w:r>
      <w:r w:rsidR="001755BB" w:rsidRPr="007948CD">
        <w:rPr>
          <w:color w:val="000000" w:themeColor="text1"/>
          <w:sz w:val="22"/>
          <w:szCs w:val="22"/>
        </w:rPr>
        <w:t xml:space="preserve">This statement needs context – how does it relate to the total shortfall in capital management </w:t>
      </w:r>
      <w:r w:rsidR="0033224C" w:rsidRPr="007948CD">
        <w:rPr>
          <w:color w:val="000000" w:themeColor="text1"/>
          <w:sz w:val="22"/>
          <w:szCs w:val="22"/>
        </w:rPr>
        <w:t>and the overall need to update and refurbish schools and colleges</w:t>
      </w:r>
      <w:r w:rsidR="001755BB" w:rsidRPr="007948CD">
        <w:rPr>
          <w:color w:val="000000" w:themeColor="text1"/>
          <w:sz w:val="22"/>
          <w:szCs w:val="22"/>
        </w:rPr>
        <w:t>?</w:t>
      </w:r>
    </w:p>
    <w:p w14:paraId="027A1841" w14:textId="77777777" w:rsidR="00602646" w:rsidRPr="005E6621" w:rsidRDefault="00602646" w:rsidP="00602646">
      <w:pPr>
        <w:pStyle w:val="ListParagraph"/>
        <w:ind w:left="426"/>
        <w:rPr>
          <w:sz w:val="22"/>
          <w:szCs w:val="22"/>
        </w:rPr>
      </w:pPr>
    </w:p>
    <w:p w14:paraId="68E3FF90" w14:textId="40249BFC" w:rsidR="005E6621" w:rsidRPr="00AE52D3" w:rsidRDefault="00417607">
      <w:pPr>
        <w:ind w:left="426" w:hanging="426"/>
        <w:rPr>
          <w:b/>
        </w:rPr>
      </w:pPr>
      <w:r w:rsidRPr="00AE52D3">
        <w:rPr>
          <w:b/>
        </w:rPr>
        <w:t>C]</w:t>
      </w:r>
      <w:r w:rsidRPr="00AE52D3">
        <w:rPr>
          <w:b/>
        </w:rPr>
        <w:tab/>
        <w:t>School standards</w:t>
      </w:r>
    </w:p>
    <w:p w14:paraId="1F9801C8" w14:textId="4CCDA0A6" w:rsidR="001755BB" w:rsidRPr="007948CD" w:rsidRDefault="00417607" w:rsidP="00C3178A">
      <w:pPr>
        <w:pStyle w:val="ListParagraph"/>
        <w:numPr>
          <w:ilvl w:val="0"/>
          <w:numId w:val="3"/>
        </w:numPr>
        <w:ind w:left="567" w:hanging="567"/>
        <w:rPr>
          <w:b/>
          <w:color w:val="000000" w:themeColor="text1"/>
          <w:sz w:val="22"/>
          <w:szCs w:val="22"/>
        </w:rPr>
      </w:pPr>
      <w:r w:rsidRPr="00DF57A0">
        <w:rPr>
          <w:b/>
          <w:color w:val="000000" w:themeColor="text1"/>
          <w:sz w:val="22"/>
          <w:szCs w:val="22"/>
        </w:rPr>
        <w:t>Reading and Numeracy tests in Years 2-9 are now helping to improve standards</w:t>
      </w:r>
      <w:r w:rsidR="001755BB" w:rsidRPr="00DF57A0">
        <w:rPr>
          <w:b/>
          <w:color w:val="000000" w:themeColor="text1"/>
          <w:sz w:val="22"/>
          <w:szCs w:val="22"/>
        </w:rPr>
        <w:t xml:space="preserve"> </w:t>
      </w:r>
      <w:r w:rsidRPr="00DF57A0">
        <w:rPr>
          <w:b/>
          <w:color w:val="000000" w:themeColor="text1"/>
          <w:sz w:val="22"/>
          <w:szCs w:val="22"/>
        </w:rPr>
        <w:t>…</w:t>
      </w:r>
      <w:r w:rsidR="007948CD">
        <w:rPr>
          <w:b/>
          <w:color w:val="000000" w:themeColor="text1"/>
          <w:sz w:val="22"/>
          <w:szCs w:val="22"/>
        </w:rPr>
        <w:t xml:space="preserve"> </w:t>
      </w:r>
      <w:r w:rsidR="001755BB" w:rsidRPr="007948CD">
        <w:rPr>
          <w:color w:val="000000" w:themeColor="text1"/>
          <w:sz w:val="22"/>
          <w:szCs w:val="22"/>
        </w:rPr>
        <w:t>The SEA rejects this statement.</w:t>
      </w:r>
      <w:r w:rsidR="00550495" w:rsidRPr="007948CD">
        <w:rPr>
          <w:color w:val="000000" w:themeColor="text1"/>
          <w:sz w:val="22"/>
          <w:szCs w:val="22"/>
        </w:rPr>
        <w:t xml:space="preserve"> Welsh </w:t>
      </w:r>
      <w:r w:rsidR="008E1374" w:rsidRPr="007948CD">
        <w:rPr>
          <w:color w:val="000000" w:themeColor="text1"/>
          <w:sz w:val="22"/>
          <w:szCs w:val="22"/>
        </w:rPr>
        <w:t>Government</w:t>
      </w:r>
      <w:r w:rsidR="00550495" w:rsidRPr="007948CD">
        <w:rPr>
          <w:color w:val="000000" w:themeColor="text1"/>
          <w:sz w:val="22"/>
          <w:szCs w:val="22"/>
        </w:rPr>
        <w:t xml:space="preserve"> </w:t>
      </w:r>
      <w:r w:rsidR="007948CD">
        <w:rPr>
          <w:color w:val="000000" w:themeColor="text1"/>
          <w:sz w:val="22"/>
          <w:szCs w:val="22"/>
        </w:rPr>
        <w:t xml:space="preserve">assessment </w:t>
      </w:r>
      <w:r w:rsidR="00550495" w:rsidRPr="007948CD">
        <w:rPr>
          <w:color w:val="000000" w:themeColor="text1"/>
          <w:sz w:val="22"/>
          <w:szCs w:val="22"/>
        </w:rPr>
        <w:t>policies are educationally flawed</w:t>
      </w:r>
      <w:r w:rsidR="007948CD">
        <w:rPr>
          <w:color w:val="000000" w:themeColor="text1"/>
          <w:sz w:val="22"/>
          <w:szCs w:val="22"/>
        </w:rPr>
        <w:t xml:space="preserve"> They </w:t>
      </w:r>
      <w:r w:rsidR="00550495" w:rsidRPr="007948CD">
        <w:rPr>
          <w:color w:val="000000" w:themeColor="text1"/>
          <w:sz w:val="22"/>
          <w:szCs w:val="22"/>
        </w:rPr>
        <w:t>reject research in learning and child development, deny children the right to an all-</w:t>
      </w:r>
      <w:r w:rsidR="008E1374" w:rsidRPr="007948CD">
        <w:rPr>
          <w:color w:val="000000" w:themeColor="text1"/>
          <w:sz w:val="22"/>
          <w:szCs w:val="22"/>
        </w:rPr>
        <w:t>round</w:t>
      </w:r>
      <w:r w:rsidR="00550495" w:rsidRPr="007948CD">
        <w:rPr>
          <w:color w:val="000000" w:themeColor="text1"/>
          <w:sz w:val="22"/>
          <w:szCs w:val="22"/>
        </w:rPr>
        <w:t xml:space="preserve"> personally fulfilling education, increase stress on learners and teachers</w:t>
      </w:r>
      <w:r w:rsidR="007948CD">
        <w:rPr>
          <w:color w:val="000000" w:themeColor="text1"/>
          <w:sz w:val="22"/>
          <w:szCs w:val="22"/>
        </w:rPr>
        <w:t xml:space="preserve"> and </w:t>
      </w:r>
      <w:r w:rsidR="008E1374" w:rsidRPr="007948CD">
        <w:rPr>
          <w:color w:val="000000" w:themeColor="text1"/>
          <w:sz w:val="22"/>
          <w:szCs w:val="22"/>
        </w:rPr>
        <w:t xml:space="preserve">do not provide any new or useful information </w:t>
      </w:r>
      <w:r w:rsidR="007948CD">
        <w:rPr>
          <w:color w:val="000000" w:themeColor="text1"/>
          <w:sz w:val="22"/>
          <w:szCs w:val="22"/>
        </w:rPr>
        <w:t xml:space="preserve">They </w:t>
      </w:r>
      <w:r w:rsidR="008E1374" w:rsidRPr="007948CD">
        <w:rPr>
          <w:color w:val="000000" w:themeColor="text1"/>
          <w:sz w:val="22"/>
          <w:szCs w:val="22"/>
        </w:rPr>
        <w:t>divert funds and effort from pupils’ learning.</w:t>
      </w:r>
      <w:r w:rsidR="007948CD">
        <w:rPr>
          <w:color w:val="000000" w:themeColor="text1"/>
          <w:sz w:val="22"/>
          <w:szCs w:val="22"/>
        </w:rPr>
        <w:t xml:space="preserve"> The SEA supports teacher assessment backed up by insightful and supportive moderation by Local Authorities.</w:t>
      </w:r>
    </w:p>
    <w:p w14:paraId="2A431CE6" w14:textId="2DE2270C" w:rsidR="008E1374" w:rsidRPr="007948CD" w:rsidRDefault="00602646" w:rsidP="00C3178A">
      <w:pPr>
        <w:pStyle w:val="ListParagraph"/>
        <w:numPr>
          <w:ilvl w:val="0"/>
          <w:numId w:val="3"/>
        </w:numPr>
        <w:ind w:left="567" w:hanging="567"/>
        <w:rPr>
          <w:b/>
          <w:color w:val="000000" w:themeColor="text1"/>
          <w:sz w:val="22"/>
          <w:szCs w:val="22"/>
        </w:rPr>
      </w:pPr>
      <w:r w:rsidRPr="00DF57A0">
        <w:rPr>
          <w:b/>
          <w:color w:val="000000" w:themeColor="text1"/>
          <w:sz w:val="22"/>
          <w:szCs w:val="22"/>
        </w:rPr>
        <w:t>Doubling investment in early years Pupil Development Grant</w:t>
      </w:r>
      <w:r w:rsidR="00026829" w:rsidRPr="00DF57A0">
        <w:rPr>
          <w:b/>
          <w:color w:val="000000" w:themeColor="text1"/>
          <w:sz w:val="22"/>
          <w:szCs w:val="22"/>
        </w:rPr>
        <w:t xml:space="preserve">. </w:t>
      </w:r>
      <w:r w:rsidR="008E1374" w:rsidRPr="007948CD">
        <w:rPr>
          <w:color w:val="000000" w:themeColor="text1"/>
          <w:sz w:val="22"/>
          <w:szCs w:val="22"/>
        </w:rPr>
        <w:t>The SEA welcomes this statement, but asks how it relates to the overall need?</w:t>
      </w:r>
    </w:p>
    <w:p w14:paraId="3E4FD3F1" w14:textId="77777777" w:rsidR="00C3178A" w:rsidRPr="00DF57A0" w:rsidRDefault="00602646" w:rsidP="00C3178A">
      <w:pPr>
        <w:pStyle w:val="ListParagraph"/>
        <w:numPr>
          <w:ilvl w:val="0"/>
          <w:numId w:val="3"/>
        </w:numPr>
        <w:ind w:left="567" w:hanging="567"/>
        <w:rPr>
          <w:b/>
          <w:color w:val="000000" w:themeColor="text1"/>
          <w:sz w:val="22"/>
          <w:szCs w:val="22"/>
        </w:rPr>
      </w:pPr>
      <w:r w:rsidRPr="00DF57A0">
        <w:rPr>
          <w:b/>
          <w:color w:val="000000" w:themeColor="text1"/>
          <w:sz w:val="22"/>
          <w:szCs w:val="22"/>
        </w:rPr>
        <w:t>Establishing a National Academy for Education Leadership.</w:t>
      </w:r>
      <w:r w:rsidR="00026829" w:rsidRPr="00DF57A0">
        <w:rPr>
          <w:b/>
          <w:color w:val="000000" w:themeColor="text1"/>
          <w:sz w:val="22"/>
          <w:szCs w:val="22"/>
        </w:rPr>
        <w:t xml:space="preserve"> </w:t>
      </w:r>
    </w:p>
    <w:p w14:paraId="150C2184" w14:textId="7A737D3D" w:rsidR="007948CD" w:rsidRDefault="00026829" w:rsidP="00C3178A">
      <w:pPr>
        <w:ind w:left="567"/>
        <w:rPr>
          <w:color w:val="000000" w:themeColor="text1"/>
          <w:sz w:val="22"/>
          <w:szCs w:val="22"/>
        </w:rPr>
      </w:pPr>
      <w:r w:rsidRPr="00C3178A">
        <w:rPr>
          <w:color w:val="000000" w:themeColor="text1"/>
          <w:sz w:val="22"/>
          <w:szCs w:val="22"/>
        </w:rPr>
        <w:t>T</w:t>
      </w:r>
      <w:r w:rsidR="008E1374" w:rsidRPr="00C3178A">
        <w:rPr>
          <w:color w:val="000000" w:themeColor="text1"/>
          <w:sz w:val="22"/>
          <w:szCs w:val="22"/>
        </w:rPr>
        <w:t>he SEA supports training for school leadership</w:t>
      </w:r>
      <w:r w:rsidR="00657FCC" w:rsidRPr="00C3178A">
        <w:rPr>
          <w:color w:val="000000" w:themeColor="text1"/>
          <w:sz w:val="22"/>
          <w:szCs w:val="22"/>
        </w:rPr>
        <w:t xml:space="preserve">. </w:t>
      </w:r>
      <w:r w:rsidR="007948CD">
        <w:rPr>
          <w:color w:val="000000" w:themeColor="text1"/>
          <w:sz w:val="22"/>
          <w:szCs w:val="22"/>
        </w:rPr>
        <w:t>This supports the overall prestige</w:t>
      </w:r>
      <w:r w:rsidR="002B29E5">
        <w:rPr>
          <w:color w:val="000000" w:themeColor="text1"/>
          <w:sz w:val="22"/>
          <w:szCs w:val="22"/>
        </w:rPr>
        <w:t xml:space="preserve"> of education staff. However, w</w:t>
      </w:r>
      <w:r w:rsidR="00657FCC" w:rsidRPr="00C3178A">
        <w:rPr>
          <w:color w:val="000000" w:themeColor="text1"/>
          <w:sz w:val="22"/>
          <w:szCs w:val="22"/>
        </w:rPr>
        <w:t xml:space="preserve">e are concerned at the </w:t>
      </w:r>
      <w:r w:rsidR="004158C9" w:rsidRPr="00C3178A">
        <w:rPr>
          <w:color w:val="000000" w:themeColor="text1"/>
          <w:sz w:val="22"/>
          <w:szCs w:val="22"/>
        </w:rPr>
        <w:t xml:space="preserve"> over </w:t>
      </w:r>
      <w:r w:rsidR="00657FCC" w:rsidRPr="00C3178A">
        <w:rPr>
          <w:color w:val="000000" w:themeColor="text1"/>
          <w:sz w:val="22"/>
          <w:szCs w:val="22"/>
        </w:rPr>
        <w:t>use of private providers</w:t>
      </w:r>
      <w:r w:rsidR="00AD4F13">
        <w:rPr>
          <w:color w:val="000000" w:themeColor="text1"/>
          <w:sz w:val="22"/>
          <w:szCs w:val="22"/>
        </w:rPr>
        <w:t>, as opposed to school, local authority and Estyn staff</w:t>
      </w:r>
      <w:r w:rsidR="00DB6439" w:rsidRPr="00C3178A">
        <w:rPr>
          <w:color w:val="000000" w:themeColor="text1"/>
          <w:sz w:val="22"/>
          <w:szCs w:val="22"/>
        </w:rPr>
        <w:t>.</w:t>
      </w:r>
      <w:r w:rsidR="00AD4F13">
        <w:rPr>
          <w:color w:val="000000" w:themeColor="text1"/>
          <w:sz w:val="22"/>
          <w:szCs w:val="22"/>
        </w:rPr>
        <w:t xml:space="preserve"> We wish to emphasize the educational nature of school leadership rather than financial and grant seeking </w:t>
      </w:r>
      <w:r w:rsidR="007948CD">
        <w:rPr>
          <w:color w:val="000000" w:themeColor="text1"/>
          <w:sz w:val="22"/>
          <w:szCs w:val="22"/>
        </w:rPr>
        <w:t>effort</w:t>
      </w:r>
    </w:p>
    <w:p w14:paraId="620EE5A2" w14:textId="77777777" w:rsidR="007948CD" w:rsidRDefault="007948CD" w:rsidP="00C3178A">
      <w:pPr>
        <w:ind w:left="567"/>
        <w:rPr>
          <w:color w:val="000000" w:themeColor="text1"/>
          <w:sz w:val="22"/>
          <w:szCs w:val="22"/>
        </w:rPr>
      </w:pPr>
    </w:p>
    <w:p w14:paraId="57190AC9" w14:textId="0D6E786F" w:rsidR="008E1374" w:rsidRPr="00C3178A" w:rsidRDefault="00AD4F13" w:rsidP="00C3178A">
      <w:pPr>
        <w:ind w:left="567"/>
        <w:rPr>
          <w:color w:val="000000" w:themeColor="text1"/>
          <w:sz w:val="22"/>
          <w:szCs w:val="22"/>
        </w:rPr>
      </w:pPr>
      <w:r>
        <w:rPr>
          <w:color w:val="000000" w:themeColor="text1"/>
          <w:sz w:val="22"/>
          <w:szCs w:val="22"/>
        </w:rPr>
        <w:lastRenderedPageBreak/>
        <w:t>.</w:t>
      </w:r>
    </w:p>
    <w:p w14:paraId="11E097D2" w14:textId="40BD140E" w:rsidR="00DB6439" w:rsidRPr="002B29E5" w:rsidRDefault="00602646" w:rsidP="00C3178A">
      <w:pPr>
        <w:pStyle w:val="ListParagraph"/>
        <w:numPr>
          <w:ilvl w:val="0"/>
          <w:numId w:val="3"/>
        </w:numPr>
        <w:ind w:left="567" w:hanging="567"/>
        <w:rPr>
          <w:b/>
          <w:color w:val="000000" w:themeColor="text1"/>
          <w:sz w:val="22"/>
          <w:szCs w:val="22"/>
        </w:rPr>
      </w:pPr>
      <w:r w:rsidRPr="00DF57A0">
        <w:rPr>
          <w:b/>
          <w:color w:val="000000" w:themeColor="text1"/>
          <w:sz w:val="22"/>
          <w:szCs w:val="22"/>
        </w:rPr>
        <w:t>New teaching and leadership standards.</w:t>
      </w:r>
      <w:r w:rsidR="002B29E5">
        <w:rPr>
          <w:b/>
          <w:color w:val="000000" w:themeColor="text1"/>
          <w:sz w:val="22"/>
          <w:szCs w:val="22"/>
        </w:rPr>
        <w:t xml:space="preserve"> </w:t>
      </w:r>
      <w:r w:rsidR="00026829" w:rsidRPr="002B29E5">
        <w:rPr>
          <w:color w:val="000000" w:themeColor="text1"/>
          <w:sz w:val="22"/>
          <w:szCs w:val="22"/>
        </w:rPr>
        <w:t>The SEA believes that Teaching and Learning should be the basis of education. This should be the groundwork of the new curriculum initiative. Teachers, in particular should be competent in supporting children with Additional Learning Needs and in supporting Minority Ethnic children, particularly those with English as an additional language.</w:t>
      </w:r>
    </w:p>
    <w:p w14:paraId="1F3055F8" w14:textId="367F48A1" w:rsidR="0098735A" w:rsidRPr="002B29E5" w:rsidRDefault="00602646" w:rsidP="0098735A">
      <w:pPr>
        <w:pStyle w:val="ListParagraph"/>
        <w:numPr>
          <w:ilvl w:val="0"/>
          <w:numId w:val="3"/>
        </w:numPr>
        <w:ind w:left="567" w:hanging="567"/>
        <w:rPr>
          <w:b/>
          <w:color w:val="000000" w:themeColor="text1"/>
          <w:sz w:val="22"/>
          <w:szCs w:val="22"/>
        </w:rPr>
      </w:pPr>
      <w:r w:rsidRPr="00DF57A0">
        <w:rPr>
          <w:b/>
          <w:color w:val="000000" w:themeColor="text1"/>
          <w:sz w:val="22"/>
          <w:szCs w:val="22"/>
        </w:rPr>
        <w:t>…the most generous system of student finance … in the UK.</w:t>
      </w:r>
      <w:r w:rsidR="003B60E8" w:rsidRPr="00DF57A0">
        <w:rPr>
          <w:b/>
          <w:color w:val="000000" w:themeColor="text1"/>
          <w:sz w:val="22"/>
          <w:szCs w:val="22"/>
        </w:rPr>
        <w:t xml:space="preserve"> </w:t>
      </w:r>
      <w:r w:rsidR="002B29E5" w:rsidRPr="002B29E5">
        <w:rPr>
          <w:color w:val="000000" w:themeColor="text1"/>
          <w:sz w:val="22"/>
          <w:szCs w:val="22"/>
        </w:rPr>
        <w:t>The SEA believes that s</w:t>
      </w:r>
      <w:r w:rsidR="00DB6439" w:rsidRPr="002B29E5">
        <w:rPr>
          <w:color w:val="000000" w:themeColor="text1"/>
          <w:sz w:val="22"/>
          <w:szCs w:val="22"/>
        </w:rPr>
        <w:t xml:space="preserve">tudent finance has taken a step backwards. </w:t>
      </w:r>
      <w:r w:rsidR="00F6058B" w:rsidRPr="002B29E5">
        <w:rPr>
          <w:color w:val="000000" w:themeColor="text1"/>
          <w:sz w:val="22"/>
          <w:szCs w:val="22"/>
        </w:rPr>
        <w:t xml:space="preserve">The current tuition fees are £9000 per annum. </w:t>
      </w:r>
      <w:r w:rsidR="00DB6439" w:rsidRPr="002B29E5">
        <w:rPr>
          <w:color w:val="000000" w:themeColor="text1"/>
          <w:sz w:val="22"/>
          <w:szCs w:val="22"/>
        </w:rPr>
        <w:t>Grants are cut back at all levels of parental income by removing the most generous aspect of the old Welsh system – that which paid off the bulk of tuition fees. By removing this grant and replacing it with a loan</w:t>
      </w:r>
      <w:r w:rsidR="00F6058B" w:rsidRPr="002B29E5">
        <w:rPr>
          <w:color w:val="000000" w:themeColor="text1"/>
          <w:sz w:val="22"/>
          <w:szCs w:val="22"/>
        </w:rPr>
        <w:t xml:space="preserve">, </w:t>
      </w:r>
      <w:r w:rsidR="00DB6439" w:rsidRPr="002B29E5">
        <w:rPr>
          <w:color w:val="000000" w:themeColor="text1"/>
          <w:sz w:val="22"/>
          <w:szCs w:val="22"/>
        </w:rPr>
        <w:t>grants are reduced at every level of parental income</w:t>
      </w:r>
      <w:r w:rsidR="00F6058B" w:rsidRPr="002B29E5">
        <w:rPr>
          <w:color w:val="000000" w:themeColor="text1"/>
          <w:sz w:val="22"/>
          <w:szCs w:val="22"/>
        </w:rPr>
        <w:t xml:space="preserve">. </w:t>
      </w:r>
      <w:r w:rsidR="00DB6439" w:rsidRPr="002B29E5">
        <w:rPr>
          <w:color w:val="000000" w:themeColor="text1"/>
          <w:sz w:val="22"/>
          <w:szCs w:val="22"/>
        </w:rPr>
        <w:t xml:space="preserve"> All students will receive smaller grants and end up with bigger debts. </w:t>
      </w:r>
    </w:p>
    <w:p w14:paraId="0AA89C09" w14:textId="0153BA21" w:rsidR="00DB6439" w:rsidRPr="002B29E5" w:rsidRDefault="00602646" w:rsidP="00DF57A0">
      <w:pPr>
        <w:pStyle w:val="ListParagraph"/>
        <w:numPr>
          <w:ilvl w:val="0"/>
          <w:numId w:val="3"/>
        </w:numPr>
        <w:ind w:left="567" w:hanging="567"/>
        <w:rPr>
          <w:b/>
          <w:color w:val="000000" w:themeColor="text1"/>
          <w:sz w:val="22"/>
          <w:szCs w:val="22"/>
        </w:rPr>
      </w:pPr>
      <w:r w:rsidRPr="00DF57A0">
        <w:rPr>
          <w:b/>
          <w:color w:val="000000" w:themeColor="text1"/>
          <w:sz w:val="22"/>
          <w:szCs w:val="22"/>
        </w:rPr>
        <w:t>Plans for a single strategic authority for post compulsory education.</w:t>
      </w:r>
      <w:r w:rsidR="00026829" w:rsidRPr="00DF57A0">
        <w:rPr>
          <w:b/>
          <w:color w:val="000000" w:themeColor="text1"/>
          <w:sz w:val="22"/>
          <w:szCs w:val="22"/>
        </w:rPr>
        <w:t xml:space="preserve"> </w:t>
      </w:r>
      <w:r w:rsidR="00DB6439" w:rsidRPr="002B29E5">
        <w:rPr>
          <w:color w:val="000000" w:themeColor="text1"/>
          <w:sz w:val="22"/>
          <w:szCs w:val="22"/>
        </w:rPr>
        <w:t>The SEA supports this statement.</w:t>
      </w:r>
      <w:r w:rsidR="00026829" w:rsidRPr="002B29E5">
        <w:rPr>
          <w:color w:val="000000" w:themeColor="text1"/>
          <w:sz w:val="22"/>
          <w:szCs w:val="22"/>
        </w:rPr>
        <w:t xml:space="preserve"> We wish to see both Further and Higher Education brought into the family of a </w:t>
      </w:r>
      <w:r w:rsidR="002B29E5">
        <w:rPr>
          <w:color w:val="000000" w:themeColor="text1"/>
          <w:sz w:val="22"/>
          <w:szCs w:val="22"/>
        </w:rPr>
        <w:t>n</w:t>
      </w:r>
      <w:r w:rsidR="00026829" w:rsidRPr="002B29E5">
        <w:rPr>
          <w:color w:val="000000" w:themeColor="text1"/>
          <w:sz w:val="22"/>
          <w:szCs w:val="22"/>
        </w:rPr>
        <w:t xml:space="preserve">ational </w:t>
      </w:r>
      <w:r w:rsidR="002B29E5">
        <w:rPr>
          <w:color w:val="000000" w:themeColor="text1"/>
          <w:sz w:val="22"/>
          <w:szCs w:val="22"/>
        </w:rPr>
        <w:t>s</w:t>
      </w:r>
      <w:r w:rsidR="00026829" w:rsidRPr="002B29E5">
        <w:rPr>
          <w:color w:val="000000" w:themeColor="text1"/>
          <w:sz w:val="22"/>
          <w:szCs w:val="22"/>
        </w:rPr>
        <w:t>ystem, based on public service – not on privatisation and profit.</w:t>
      </w:r>
    </w:p>
    <w:p w14:paraId="7E38AA2F" w14:textId="1307DF3B" w:rsidR="00DB6439" w:rsidRPr="002B29E5" w:rsidRDefault="00602646" w:rsidP="00C3178A">
      <w:pPr>
        <w:pStyle w:val="ListParagraph"/>
        <w:numPr>
          <w:ilvl w:val="0"/>
          <w:numId w:val="3"/>
        </w:numPr>
        <w:ind w:left="567" w:hanging="567"/>
        <w:rPr>
          <w:b/>
          <w:color w:val="000000" w:themeColor="text1"/>
          <w:sz w:val="22"/>
          <w:szCs w:val="22"/>
        </w:rPr>
      </w:pPr>
      <w:r w:rsidRPr="00DF57A0">
        <w:rPr>
          <w:b/>
          <w:color w:val="000000" w:themeColor="text1"/>
          <w:sz w:val="22"/>
          <w:szCs w:val="22"/>
        </w:rPr>
        <w:t>…funds to support class size reduction and rural/small schools.</w:t>
      </w:r>
      <w:r w:rsidR="00026829" w:rsidRPr="00DF57A0">
        <w:rPr>
          <w:b/>
          <w:color w:val="000000" w:themeColor="text1"/>
          <w:sz w:val="22"/>
          <w:szCs w:val="22"/>
        </w:rPr>
        <w:t xml:space="preserve"> </w:t>
      </w:r>
      <w:r w:rsidR="00B9266B" w:rsidRPr="002B29E5">
        <w:rPr>
          <w:color w:val="000000" w:themeColor="text1"/>
          <w:sz w:val="22"/>
          <w:szCs w:val="22"/>
        </w:rPr>
        <w:t>Context is needed on this. How does the funding relate to need?</w:t>
      </w:r>
      <w:r w:rsidR="004158C9" w:rsidRPr="002B29E5">
        <w:rPr>
          <w:color w:val="000000" w:themeColor="text1"/>
          <w:sz w:val="22"/>
          <w:szCs w:val="22"/>
        </w:rPr>
        <w:t xml:space="preserve"> Are there too many small (and uneconomic) schools?</w:t>
      </w:r>
    </w:p>
    <w:p w14:paraId="27521CD6" w14:textId="7BFE6A99" w:rsidR="00A3273A" w:rsidRPr="002B29E5" w:rsidRDefault="00602646" w:rsidP="00C3178A">
      <w:pPr>
        <w:pStyle w:val="ListParagraph"/>
        <w:numPr>
          <w:ilvl w:val="0"/>
          <w:numId w:val="3"/>
        </w:numPr>
        <w:ind w:left="567" w:hanging="567"/>
        <w:rPr>
          <w:b/>
          <w:color w:val="000000" w:themeColor="text1"/>
          <w:sz w:val="22"/>
          <w:szCs w:val="22"/>
        </w:rPr>
      </w:pPr>
      <w:r w:rsidRPr="00DF57A0">
        <w:rPr>
          <w:b/>
          <w:color w:val="000000" w:themeColor="text1"/>
          <w:sz w:val="22"/>
          <w:szCs w:val="22"/>
        </w:rPr>
        <w:t>New accreditation criteria for initial teacher training.</w:t>
      </w:r>
      <w:r w:rsidR="003B60E8" w:rsidRPr="00DF57A0">
        <w:rPr>
          <w:b/>
          <w:color w:val="000000" w:themeColor="text1"/>
          <w:sz w:val="22"/>
          <w:szCs w:val="22"/>
        </w:rPr>
        <w:t xml:space="preserve"> </w:t>
      </w:r>
      <w:r w:rsidR="00026829" w:rsidRPr="002B29E5">
        <w:rPr>
          <w:color w:val="000000" w:themeColor="text1"/>
          <w:sz w:val="22"/>
          <w:szCs w:val="22"/>
        </w:rPr>
        <w:t>The SEA wishes to see the development of university/school Initial Teacher Training. I</w:t>
      </w:r>
      <w:r w:rsidR="003B60E8" w:rsidRPr="002B29E5">
        <w:rPr>
          <w:color w:val="000000" w:themeColor="text1"/>
          <w:sz w:val="22"/>
          <w:szCs w:val="22"/>
        </w:rPr>
        <w:t>t</w:t>
      </w:r>
      <w:r w:rsidR="00026829" w:rsidRPr="002B29E5">
        <w:rPr>
          <w:color w:val="000000" w:themeColor="text1"/>
          <w:sz w:val="22"/>
          <w:szCs w:val="22"/>
        </w:rPr>
        <w:t xml:space="preserve"> should include understanding of behaviour and its management to help in teaching and learning. It should also include </w:t>
      </w:r>
      <w:r w:rsidR="003B60E8" w:rsidRPr="002B29E5">
        <w:rPr>
          <w:color w:val="000000" w:themeColor="text1"/>
          <w:sz w:val="22"/>
          <w:szCs w:val="22"/>
        </w:rPr>
        <w:t>recognition of the child’s neurological and social situation to help advance the education of all children.</w:t>
      </w:r>
    </w:p>
    <w:p w14:paraId="1A2D2572" w14:textId="188CE9D4" w:rsidR="002B29E5" w:rsidRPr="002B29E5" w:rsidRDefault="00602646" w:rsidP="00FC16D2">
      <w:pPr>
        <w:pStyle w:val="ListParagraph"/>
        <w:numPr>
          <w:ilvl w:val="0"/>
          <w:numId w:val="3"/>
        </w:numPr>
        <w:ind w:left="567" w:hanging="567"/>
        <w:rPr>
          <w:b/>
          <w:color w:val="000000" w:themeColor="text1"/>
          <w:sz w:val="22"/>
          <w:szCs w:val="22"/>
        </w:rPr>
      </w:pPr>
      <w:r w:rsidRPr="002B29E5">
        <w:rPr>
          <w:b/>
          <w:color w:val="000000" w:themeColor="text1"/>
          <w:sz w:val="22"/>
          <w:szCs w:val="22"/>
        </w:rPr>
        <w:t xml:space="preserve">GCSE </w:t>
      </w:r>
      <w:r w:rsidR="009E6132" w:rsidRPr="002B29E5">
        <w:rPr>
          <w:b/>
          <w:color w:val="000000" w:themeColor="text1"/>
          <w:sz w:val="22"/>
          <w:szCs w:val="22"/>
        </w:rPr>
        <w:t>and ‘A</w:t>
      </w:r>
      <w:r w:rsidR="00CC737B" w:rsidRPr="002B29E5">
        <w:rPr>
          <w:b/>
          <w:color w:val="000000" w:themeColor="text1"/>
          <w:sz w:val="22"/>
          <w:szCs w:val="22"/>
        </w:rPr>
        <w:t xml:space="preserve">’ level </w:t>
      </w:r>
      <w:r w:rsidR="00DE1FCF" w:rsidRPr="002B29E5">
        <w:rPr>
          <w:b/>
          <w:color w:val="000000" w:themeColor="text1"/>
          <w:sz w:val="22"/>
          <w:szCs w:val="22"/>
        </w:rPr>
        <w:t>results</w:t>
      </w:r>
      <w:r w:rsidR="00CC737B" w:rsidRPr="002B29E5">
        <w:rPr>
          <w:b/>
          <w:color w:val="000000" w:themeColor="text1"/>
          <w:sz w:val="22"/>
          <w:szCs w:val="22"/>
        </w:rPr>
        <w:t xml:space="preserve"> </w:t>
      </w:r>
      <w:r w:rsidRPr="002B29E5">
        <w:rPr>
          <w:b/>
          <w:color w:val="000000" w:themeColor="text1"/>
          <w:sz w:val="22"/>
          <w:szCs w:val="22"/>
        </w:rPr>
        <w:t>have improved.</w:t>
      </w:r>
      <w:r w:rsidR="003B60E8" w:rsidRPr="002B29E5">
        <w:rPr>
          <w:b/>
          <w:color w:val="000000" w:themeColor="text1"/>
          <w:sz w:val="22"/>
          <w:szCs w:val="22"/>
        </w:rPr>
        <w:t xml:space="preserve"> </w:t>
      </w:r>
      <w:r w:rsidR="00A20CC8" w:rsidRPr="002B29E5">
        <w:rPr>
          <w:color w:val="000000" w:themeColor="text1"/>
          <w:sz w:val="22"/>
          <w:szCs w:val="22"/>
        </w:rPr>
        <w:t xml:space="preserve">It is necessary for Welsh Labour to be honest. </w:t>
      </w:r>
      <w:r w:rsidR="00CA5FC1" w:rsidRPr="002B29E5">
        <w:rPr>
          <w:color w:val="000000" w:themeColor="text1"/>
          <w:sz w:val="22"/>
          <w:szCs w:val="22"/>
        </w:rPr>
        <w:t xml:space="preserve">The following table is from the Joint </w:t>
      </w:r>
      <w:r w:rsidR="003E42C9" w:rsidRPr="002B29E5">
        <w:rPr>
          <w:color w:val="000000" w:themeColor="text1"/>
          <w:sz w:val="22"/>
          <w:szCs w:val="22"/>
        </w:rPr>
        <w:t>Council for</w:t>
      </w:r>
      <w:r w:rsidR="00CA5FC1" w:rsidRPr="002B29E5">
        <w:rPr>
          <w:color w:val="000000" w:themeColor="text1"/>
          <w:sz w:val="22"/>
          <w:szCs w:val="22"/>
        </w:rPr>
        <w:t xml:space="preserve"> Qualifications. It can be seen that </w:t>
      </w:r>
      <w:r w:rsidR="005E6621" w:rsidRPr="002B29E5">
        <w:rPr>
          <w:color w:val="000000" w:themeColor="text1"/>
          <w:sz w:val="22"/>
          <w:szCs w:val="22"/>
        </w:rPr>
        <w:t xml:space="preserve">GCSE </w:t>
      </w:r>
      <w:r w:rsidR="00CA5FC1" w:rsidRPr="002B29E5">
        <w:rPr>
          <w:color w:val="000000" w:themeColor="text1"/>
          <w:sz w:val="22"/>
          <w:szCs w:val="22"/>
        </w:rPr>
        <w:t>results are still below those in 2015.</w:t>
      </w:r>
      <w:r w:rsidR="003E42C9" w:rsidRPr="002B29E5">
        <w:rPr>
          <w:color w:val="000000" w:themeColor="text1"/>
          <w:sz w:val="22"/>
          <w:szCs w:val="22"/>
        </w:rPr>
        <w:t xml:space="preserve"> </w:t>
      </w:r>
    </w:p>
    <w:tbl>
      <w:tblPr>
        <w:tblStyle w:val="TableGrid"/>
        <w:tblW w:w="0" w:type="auto"/>
        <w:tblInd w:w="607" w:type="dxa"/>
        <w:tblLayout w:type="fixed"/>
        <w:tblLook w:val="04A0" w:firstRow="1" w:lastRow="0" w:firstColumn="1" w:lastColumn="0" w:noHBand="0" w:noVBand="1"/>
      </w:tblPr>
      <w:tblGrid>
        <w:gridCol w:w="1247"/>
        <w:gridCol w:w="1247"/>
        <w:gridCol w:w="1247"/>
        <w:gridCol w:w="1247"/>
        <w:gridCol w:w="1247"/>
        <w:gridCol w:w="1247"/>
      </w:tblGrid>
      <w:tr w:rsidR="00C3178A" w:rsidRPr="00C3178A" w14:paraId="0DAD533C" w14:textId="77777777" w:rsidTr="002B29E5">
        <w:tc>
          <w:tcPr>
            <w:tcW w:w="1247" w:type="dxa"/>
            <w:hideMark/>
          </w:tcPr>
          <w:p w14:paraId="0D46E174" w14:textId="77777777" w:rsidR="00CA5FC1" w:rsidRPr="00C3178A" w:rsidRDefault="00CA5FC1" w:rsidP="00C3178A">
            <w:pPr>
              <w:ind w:left="567" w:hanging="567"/>
              <w:jc w:val="center"/>
              <w:rPr>
                <w:color w:val="000000" w:themeColor="text1"/>
                <w:sz w:val="22"/>
                <w:szCs w:val="22"/>
              </w:rPr>
            </w:pPr>
          </w:p>
        </w:tc>
        <w:tc>
          <w:tcPr>
            <w:tcW w:w="1247" w:type="dxa"/>
            <w:hideMark/>
          </w:tcPr>
          <w:p w14:paraId="7343E499" w14:textId="6F16B067"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2015</w:t>
            </w:r>
          </w:p>
        </w:tc>
        <w:tc>
          <w:tcPr>
            <w:tcW w:w="1247" w:type="dxa"/>
            <w:hideMark/>
          </w:tcPr>
          <w:p w14:paraId="0EA5AA09" w14:textId="766D4342"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2016</w:t>
            </w:r>
          </w:p>
        </w:tc>
        <w:tc>
          <w:tcPr>
            <w:tcW w:w="1247" w:type="dxa"/>
            <w:hideMark/>
          </w:tcPr>
          <w:p w14:paraId="0478D6D7" w14:textId="141E9F69"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2017</w:t>
            </w:r>
          </w:p>
        </w:tc>
        <w:tc>
          <w:tcPr>
            <w:tcW w:w="1247" w:type="dxa"/>
            <w:hideMark/>
          </w:tcPr>
          <w:p w14:paraId="2AD6B918" w14:textId="75D64773"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2018</w:t>
            </w:r>
          </w:p>
        </w:tc>
        <w:tc>
          <w:tcPr>
            <w:tcW w:w="1247" w:type="dxa"/>
            <w:hideMark/>
          </w:tcPr>
          <w:p w14:paraId="0A879009" w14:textId="387FEB7B"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2019</w:t>
            </w:r>
          </w:p>
        </w:tc>
      </w:tr>
      <w:tr w:rsidR="00C3178A" w:rsidRPr="00C3178A" w14:paraId="3280F0FE" w14:textId="77777777" w:rsidTr="002B29E5">
        <w:tc>
          <w:tcPr>
            <w:tcW w:w="1247" w:type="dxa"/>
            <w:hideMark/>
          </w:tcPr>
          <w:p w14:paraId="4D5ECD7C" w14:textId="0C9E1A6E" w:rsidR="00CA5FC1" w:rsidRPr="00C3178A" w:rsidRDefault="00CA5FC1" w:rsidP="00C3178A">
            <w:pPr>
              <w:pStyle w:val="NormalWeb"/>
              <w:ind w:left="567" w:hanging="567"/>
              <w:jc w:val="center"/>
              <w:rPr>
                <w:color w:val="000000" w:themeColor="text1"/>
                <w:sz w:val="22"/>
                <w:szCs w:val="22"/>
              </w:rPr>
            </w:pPr>
            <w:r w:rsidRPr="00C3178A">
              <w:rPr>
                <w:color w:val="000000" w:themeColor="text1"/>
                <w:sz w:val="22"/>
                <w:szCs w:val="22"/>
              </w:rPr>
              <w:t>A*-A</w:t>
            </w:r>
          </w:p>
        </w:tc>
        <w:tc>
          <w:tcPr>
            <w:tcW w:w="1247" w:type="dxa"/>
            <w:hideMark/>
          </w:tcPr>
          <w:p w14:paraId="48FDD9B9" w14:textId="0D859474"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19.2</w:t>
            </w:r>
            <w:r w:rsidR="002B29E5">
              <w:rPr>
                <w:color w:val="000000" w:themeColor="text1"/>
                <w:sz w:val="22"/>
                <w:szCs w:val="22"/>
              </w:rPr>
              <w:t>%</w:t>
            </w:r>
          </w:p>
        </w:tc>
        <w:tc>
          <w:tcPr>
            <w:tcW w:w="1247" w:type="dxa"/>
            <w:hideMark/>
          </w:tcPr>
          <w:p w14:paraId="4D967994" w14:textId="107D3C19"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19.4</w:t>
            </w:r>
            <w:r w:rsidR="002B29E5">
              <w:rPr>
                <w:color w:val="000000" w:themeColor="text1"/>
                <w:sz w:val="22"/>
                <w:szCs w:val="22"/>
              </w:rPr>
              <w:t>%</w:t>
            </w:r>
          </w:p>
        </w:tc>
        <w:tc>
          <w:tcPr>
            <w:tcW w:w="1247" w:type="dxa"/>
            <w:hideMark/>
          </w:tcPr>
          <w:p w14:paraId="20C307C5" w14:textId="44DA6DE2"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17.9</w:t>
            </w:r>
            <w:r w:rsidR="002B29E5">
              <w:rPr>
                <w:color w:val="000000" w:themeColor="text1"/>
                <w:sz w:val="22"/>
                <w:szCs w:val="22"/>
              </w:rPr>
              <w:t>%</w:t>
            </w:r>
          </w:p>
        </w:tc>
        <w:tc>
          <w:tcPr>
            <w:tcW w:w="1247" w:type="dxa"/>
            <w:hideMark/>
          </w:tcPr>
          <w:p w14:paraId="750DE4B5" w14:textId="0956A0B9"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18.5</w:t>
            </w:r>
            <w:r w:rsidR="002B29E5">
              <w:rPr>
                <w:color w:val="000000" w:themeColor="text1"/>
                <w:sz w:val="22"/>
                <w:szCs w:val="22"/>
              </w:rPr>
              <w:t>%</w:t>
            </w:r>
          </w:p>
        </w:tc>
        <w:tc>
          <w:tcPr>
            <w:tcW w:w="1247" w:type="dxa"/>
            <w:hideMark/>
          </w:tcPr>
          <w:p w14:paraId="310BF348" w14:textId="7D3CE059"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18.4</w:t>
            </w:r>
            <w:r w:rsidR="002B29E5">
              <w:rPr>
                <w:color w:val="000000" w:themeColor="text1"/>
                <w:sz w:val="22"/>
                <w:szCs w:val="22"/>
              </w:rPr>
              <w:t>%</w:t>
            </w:r>
          </w:p>
        </w:tc>
      </w:tr>
      <w:tr w:rsidR="00C3178A" w:rsidRPr="00C3178A" w14:paraId="126E2F2D" w14:textId="77777777" w:rsidTr="002B29E5">
        <w:tc>
          <w:tcPr>
            <w:tcW w:w="1247" w:type="dxa"/>
            <w:hideMark/>
          </w:tcPr>
          <w:p w14:paraId="17A9FFF7" w14:textId="28689BE5" w:rsidR="00CA5FC1" w:rsidRPr="00C3178A" w:rsidRDefault="00CA5FC1" w:rsidP="00C3178A">
            <w:pPr>
              <w:pStyle w:val="NormalWeb"/>
              <w:ind w:left="567" w:hanging="567"/>
              <w:jc w:val="center"/>
              <w:rPr>
                <w:color w:val="000000" w:themeColor="text1"/>
                <w:sz w:val="22"/>
                <w:szCs w:val="22"/>
              </w:rPr>
            </w:pPr>
            <w:r w:rsidRPr="00C3178A">
              <w:rPr>
                <w:color w:val="000000" w:themeColor="text1"/>
                <w:sz w:val="22"/>
                <w:szCs w:val="22"/>
              </w:rPr>
              <w:t>A*-C</w:t>
            </w:r>
          </w:p>
        </w:tc>
        <w:tc>
          <w:tcPr>
            <w:tcW w:w="1247" w:type="dxa"/>
            <w:hideMark/>
          </w:tcPr>
          <w:p w14:paraId="6FCD6957" w14:textId="589CE9F3"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66.6</w:t>
            </w:r>
            <w:r w:rsidR="002B29E5">
              <w:rPr>
                <w:color w:val="000000" w:themeColor="text1"/>
                <w:sz w:val="22"/>
                <w:szCs w:val="22"/>
              </w:rPr>
              <w:t>%</w:t>
            </w:r>
          </w:p>
        </w:tc>
        <w:tc>
          <w:tcPr>
            <w:tcW w:w="1247" w:type="dxa"/>
            <w:hideMark/>
          </w:tcPr>
          <w:p w14:paraId="364F1ACE" w14:textId="2F7737E4"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66.6</w:t>
            </w:r>
            <w:r w:rsidR="002B29E5">
              <w:rPr>
                <w:color w:val="000000" w:themeColor="text1"/>
                <w:sz w:val="22"/>
                <w:szCs w:val="22"/>
              </w:rPr>
              <w:t>%</w:t>
            </w:r>
          </w:p>
        </w:tc>
        <w:tc>
          <w:tcPr>
            <w:tcW w:w="1247" w:type="dxa"/>
            <w:hideMark/>
          </w:tcPr>
          <w:p w14:paraId="13C40F67" w14:textId="0AB64A5A"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62.8</w:t>
            </w:r>
            <w:r w:rsidR="002B29E5">
              <w:rPr>
                <w:color w:val="000000" w:themeColor="text1"/>
                <w:sz w:val="22"/>
                <w:szCs w:val="22"/>
              </w:rPr>
              <w:t>%</w:t>
            </w:r>
          </w:p>
        </w:tc>
        <w:tc>
          <w:tcPr>
            <w:tcW w:w="1247" w:type="dxa"/>
            <w:hideMark/>
          </w:tcPr>
          <w:p w14:paraId="638FAF98" w14:textId="5B608676"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61.6</w:t>
            </w:r>
            <w:r w:rsidR="002B29E5">
              <w:rPr>
                <w:color w:val="000000" w:themeColor="text1"/>
                <w:sz w:val="22"/>
                <w:szCs w:val="22"/>
              </w:rPr>
              <w:t>%</w:t>
            </w:r>
          </w:p>
        </w:tc>
        <w:tc>
          <w:tcPr>
            <w:tcW w:w="1247" w:type="dxa"/>
            <w:hideMark/>
          </w:tcPr>
          <w:p w14:paraId="1A503782" w14:textId="2377B231"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62.8</w:t>
            </w:r>
            <w:r w:rsidR="002B29E5">
              <w:rPr>
                <w:color w:val="000000" w:themeColor="text1"/>
                <w:sz w:val="22"/>
                <w:szCs w:val="22"/>
              </w:rPr>
              <w:t>%</w:t>
            </w:r>
          </w:p>
        </w:tc>
      </w:tr>
      <w:tr w:rsidR="003E42C9" w:rsidRPr="00C3178A" w14:paraId="74C2ECDA" w14:textId="77777777" w:rsidTr="002B29E5">
        <w:tc>
          <w:tcPr>
            <w:tcW w:w="1247" w:type="dxa"/>
            <w:hideMark/>
          </w:tcPr>
          <w:p w14:paraId="281486A0" w14:textId="503160EE" w:rsidR="00CA5FC1" w:rsidRPr="00C3178A" w:rsidRDefault="00CA5FC1" w:rsidP="00C3178A">
            <w:pPr>
              <w:pStyle w:val="NormalWeb"/>
              <w:ind w:left="567" w:hanging="567"/>
              <w:jc w:val="center"/>
              <w:rPr>
                <w:color w:val="000000" w:themeColor="text1"/>
                <w:sz w:val="22"/>
                <w:szCs w:val="22"/>
              </w:rPr>
            </w:pPr>
            <w:r w:rsidRPr="00C3178A">
              <w:rPr>
                <w:color w:val="000000" w:themeColor="text1"/>
                <w:sz w:val="22"/>
                <w:szCs w:val="22"/>
              </w:rPr>
              <w:t>A*-G</w:t>
            </w:r>
          </w:p>
        </w:tc>
        <w:tc>
          <w:tcPr>
            <w:tcW w:w="1247" w:type="dxa"/>
            <w:hideMark/>
          </w:tcPr>
          <w:p w14:paraId="367D6139" w14:textId="16C7F7E1"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98.7</w:t>
            </w:r>
            <w:r w:rsidR="002B29E5">
              <w:rPr>
                <w:color w:val="000000" w:themeColor="text1"/>
                <w:sz w:val="22"/>
                <w:szCs w:val="22"/>
              </w:rPr>
              <w:t>%</w:t>
            </w:r>
          </w:p>
        </w:tc>
        <w:tc>
          <w:tcPr>
            <w:tcW w:w="1247" w:type="dxa"/>
            <w:hideMark/>
          </w:tcPr>
          <w:p w14:paraId="03078AEC" w14:textId="0BA7F122"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98.7</w:t>
            </w:r>
            <w:r w:rsidR="002B29E5">
              <w:rPr>
                <w:color w:val="000000" w:themeColor="text1"/>
                <w:sz w:val="22"/>
                <w:szCs w:val="22"/>
              </w:rPr>
              <w:t>%</w:t>
            </w:r>
          </w:p>
        </w:tc>
        <w:tc>
          <w:tcPr>
            <w:tcW w:w="1247" w:type="dxa"/>
            <w:hideMark/>
          </w:tcPr>
          <w:p w14:paraId="53693096" w14:textId="0E4F0A9B"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96.9</w:t>
            </w:r>
            <w:r w:rsidR="002B29E5">
              <w:rPr>
                <w:color w:val="000000" w:themeColor="text1"/>
                <w:sz w:val="22"/>
                <w:szCs w:val="22"/>
              </w:rPr>
              <w:t>%</w:t>
            </w:r>
          </w:p>
        </w:tc>
        <w:tc>
          <w:tcPr>
            <w:tcW w:w="1247" w:type="dxa"/>
            <w:hideMark/>
          </w:tcPr>
          <w:p w14:paraId="0579D4D2" w14:textId="211351FB"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96.4</w:t>
            </w:r>
            <w:r w:rsidR="002B29E5">
              <w:rPr>
                <w:color w:val="000000" w:themeColor="text1"/>
                <w:sz w:val="22"/>
                <w:szCs w:val="22"/>
              </w:rPr>
              <w:t>%</w:t>
            </w:r>
          </w:p>
        </w:tc>
        <w:tc>
          <w:tcPr>
            <w:tcW w:w="1247" w:type="dxa"/>
            <w:hideMark/>
          </w:tcPr>
          <w:p w14:paraId="2DE63D1A" w14:textId="41FBBF04" w:rsidR="00CA5FC1" w:rsidRPr="00C3178A" w:rsidRDefault="00CA5FC1" w:rsidP="00C3178A">
            <w:pPr>
              <w:pStyle w:val="NormalWeb"/>
              <w:ind w:left="567" w:hanging="567"/>
              <w:rPr>
                <w:color w:val="000000" w:themeColor="text1"/>
                <w:sz w:val="22"/>
                <w:szCs w:val="22"/>
              </w:rPr>
            </w:pPr>
            <w:r w:rsidRPr="00C3178A">
              <w:rPr>
                <w:color w:val="000000" w:themeColor="text1"/>
                <w:sz w:val="22"/>
                <w:szCs w:val="22"/>
              </w:rPr>
              <w:t>97.2</w:t>
            </w:r>
            <w:r w:rsidR="002B29E5">
              <w:rPr>
                <w:color w:val="000000" w:themeColor="text1"/>
                <w:sz w:val="22"/>
                <w:szCs w:val="22"/>
              </w:rPr>
              <w:t>%</w:t>
            </w:r>
          </w:p>
        </w:tc>
      </w:tr>
    </w:tbl>
    <w:p w14:paraId="391E43B0" w14:textId="24A096C1" w:rsidR="002B29E5" w:rsidRPr="002B29E5" w:rsidRDefault="002B29E5" w:rsidP="002B29E5">
      <w:pPr>
        <w:ind w:left="567"/>
        <w:rPr>
          <w:b/>
          <w:color w:val="000000" w:themeColor="text1"/>
          <w:sz w:val="22"/>
          <w:szCs w:val="22"/>
        </w:rPr>
      </w:pPr>
      <w:r w:rsidRPr="002B29E5">
        <w:rPr>
          <w:color w:val="000000" w:themeColor="text1"/>
          <w:sz w:val="22"/>
          <w:szCs w:val="22"/>
        </w:rPr>
        <w:t>Also note that new Welsh GCSEs have departed from those in England and are no longer directly comparable.</w:t>
      </w:r>
    </w:p>
    <w:p w14:paraId="67B946FA" w14:textId="27117750" w:rsidR="00CC566B" w:rsidRPr="00C3178A" w:rsidRDefault="005F222F" w:rsidP="00C3178A">
      <w:pPr>
        <w:pStyle w:val="ListParagraph"/>
        <w:ind w:left="567" w:hanging="567"/>
        <w:rPr>
          <w:color w:val="000000" w:themeColor="text1"/>
          <w:sz w:val="22"/>
          <w:szCs w:val="22"/>
        </w:rPr>
      </w:pPr>
      <w:r>
        <w:rPr>
          <w:color w:val="000000" w:themeColor="text1"/>
          <w:sz w:val="22"/>
          <w:szCs w:val="22"/>
        </w:rPr>
        <w:tab/>
      </w:r>
      <w:r w:rsidR="00DA25F7" w:rsidRPr="00C3178A">
        <w:rPr>
          <w:color w:val="000000" w:themeColor="text1"/>
          <w:sz w:val="22"/>
          <w:szCs w:val="22"/>
        </w:rPr>
        <w:t>At ‘A’ level there is some truth in the statement. Attainment of top grades has increased. A*-A passes rose from 26.3% in 2018 to 27%, a</w:t>
      </w:r>
      <w:r w:rsidR="00C42AD3" w:rsidRPr="00C3178A">
        <w:rPr>
          <w:color w:val="000000" w:themeColor="text1"/>
          <w:sz w:val="22"/>
          <w:szCs w:val="22"/>
        </w:rPr>
        <w:t>n</w:t>
      </w:r>
      <w:r w:rsidR="00DA25F7" w:rsidRPr="00C3178A">
        <w:rPr>
          <w:color w:val="000000" w:themeColor="text1"/>
          <w:sz w:val="22"/>
          <w:szCs w:val="22"/>
        </w:rPr>
        <w:t xml:space="preserve"> historic high. A* passes are now at 9.1%, also an historic high. Wales has made improvements in ranking for all grades and is now ranked first for A* compared to the English regions and Northern Ireland</w:t>
      </w:r>
      <w:r w:rsidR="00C42AD3" w:rsidRPr="00C3178A">
        <w:rPr>
          <w:color w:val="000000" w:themeColor="text1"/>
          <w:sz w:val="22"/>
          <w:szCs w:val="22"/>
        </w:rPr>
        <w:t>.</w:t>
      </w:r>
      <w:r w:rsidR="003B60E8" w:rsidRPr="00C3178A">
        <w:rPr>
          <w:color w:val="000000" w:themeColor="text1"/>
          <w:sz w:val="22"/>
          <w:szCs w:val="22"/>
        </w:rPr>
        <w:t xml:space="preserve"> </w:t>
      </w:r>
      <w:r w:rsidR="00DA25F7" w:rsidRPr="00C3178A">
        <w:rPr>
          <w:color w:val="000000" w:themeColor="text1"/>
          <w:sz w:val="22"/>
          <w:szCs w:val="22"/>
        </w:rPr>
        <w:t xml:space="preserve">Results remained stable at A*-C, with the overall pass rate of 76.3% at the highest level since 2009. </w:t>
      </w:r>
      <w:r w:rsidR="00C42AD3" w:rsidRPr="00C3178A">
        <w:rPr>
          <w:color w:val="000000" w:themeColor="text1"/>
          <w:sz w:val="22"/>
          <w:szCs w:val="22"/>
        </w:rPr>
        <w:t xml:space="preserve"> BBC August 2019.</w:t>
      </w:r>
    </w:p>
    <w:p w14:paraId="067AC06B" w14:textId="77777777" w:rsidR="008E1558" w:rsidRPr="005E6621" w:rsidRDefault="008E1558" w:rsidP="008E1558">
      <w:pPr>
        <w:rPr>
          <w:sz w:val="22"/>
          <w:szCs w:val="22"/>
        </w:rPr>
      </w:pPr>
    </w:p>
    <w:p w14:paraId="054B1305" w14:textId="57BFEE6C" w:rsidR="005E6621" w:rsidRPr="00AE52D3" w:rsidRDefault="008E1558" w:rsidP="008E1558">
      <w:pPr>
        <w:ind w:left="426" w:hanging="426"/>
        <w:rPr>
          <w:b/>
        </w:rPr>
      </w:pPr>
      <w:r w:rsidRPr="00AE52D3">
        <w:rPr>
          <w:b/>
        </w:rPr>
        <w:t>D]</w:t>
      </w:r>
      <w:r w:rsidRPr="00AE52D3">
        <w:rPr>
          <w:b/>
        </w:rPr>
        <w:tab/>
        <w:t>School Improvement</w:t>
      </w:r>
    </w:p>
    <w:p w14:paraId="5120E1BE" w14:textId="7355A0FE" w:rsidR="00975CD6" w:rsidRPr="005F222F" w:rsidRDefault="008E1558" w:rsidP="0098735A">
      <w:pPr>
        <w:pStyle w:val="ListParagraph"/>
        <w:numPr>
          <w:ilvl w:val="0"/>
          <w:numId w:val="6"/>
        </w:numPr>
        <w:ind w:left="567" w:hanging="567"/>
        <w:rPr>
          <w:b/>
          <w:color w:val="000000" w:themeColor="text1"/>
          <w:sz w:val="22"/>
          <w:szCs w:val="22"/>
        </w:rPr>
      </w:pPr>
      <w:r w:rsidRPr="00DF57A0">
        <w:rPr>
          <w:b/>
          <w:color w:val="000000" w:themeColor="text1"/>
          <w:sz w:val="22"/>
          <w:szCs w:val="22"/>
        </w:rPr>
        <w:t>The School categorisation system … is a smart and fair accountability framework.</w:t>
      </w:r>
      <w:r w:rsidR="003B60E8" w:rsidRPr="00DF57A0">
        <w:rPr>
          <w:b/>
          <w:color w:val="000000" w:themeColor="text1"/>
          <w:sz w:val="22"/>
          <w:szCs w:val="22"/>
        </w:rPr>
        <w:t xml:space="preserve"> </w:t>
      </w:r>
      <w:r w:rsidR="00975CD6" w:rsidRPr="005F222F">
        <w:rPr>
          <w:color w:val="000000" w:themeColor="text1"/>
          <w:sz w:val="22"/>
          <w:szCs w:val="22"/>
        </w:rPr>
        <w:t xml:space="preserve">The </w:t>
      </w:r>
      <w:r w:rsidR="005E6621" w:rsidRPr="005F222F">
        <w:rPr>
          <w:color w:val="000000" w:themeColor="text1"/>
          <w:sz w:val="22"/>
          <w:szCs w:val="22"/>
        </w:rPr>
        <w:t xml:space="preserve">SEA believes that the </w:t>
      </w:r>
      <w:r w:rsidR="00975CD6" w:rsidRPr="005F222F">
        <w:rPr>
          <w:color w:val="000000" w:themeColor="text1"/>
          <w:sz w:val="22"/>
          <w:szCs w:val="22"/>
        </w:rPr>
        <w:t>colour coding system, while a marginal improvement on the original system based on quartiles, is a poor excuse for an accountability system. It provides no new data and is not a good mechanism for distributing the rather low level of support funding.</w:t>
      </w:r>
      <w:r w:rsidR="00AE52D3" w:rsidRPr="005F222F">
        <w:rPr>
          <w:color w:val="000000" w:themeColor="text1"/>
          <w:sz w:val="22"/>
          <w:szCs w:val="22"/>
        </w:rPr>
        <w:t xml:space="preserve"> It also provides the basis for Press treatment of the colours on a league table basis that promotes competition rather than cooperation between schools</w:t>
      </w:r>
    </w:p>
    <w:p w14:paraId="59E94CF8" w14:textId="611BAE2B" w:rsidR="00975CD6" w:rsidRPr="005F222F" w:rsidRDefault="008E1558" w:rsidP="0098735A">
      <w:pPr>
        <w:pStyle w:val="ListParagraph"/>
        <w:numPr>
          <w:ilvl w:val="0"/>
          <w:numId w:val="6"/>
        </w:numPr>
        <w:ind w:left="567" w:hanging="567"/>
        <w:rPr>
          <w:b/>
          <w:color w:val="000000" w:themeColor="text1"/>
          <w:sz w:val="22"/>
          <w:szCs w:val="22"/>
        </w:rPr>
      </w:pPr>
      <w:r w:rsidRPr="00DF57A0">
        <w:rPr>
          <w:b/>
          <w:color w:val="000000" w:themeColor="text1"/>
          <w:sz w:val="22"/>
          <w:szCs w:val="22"/>
        </w:rPr>
        <w:t>Fewer schools need the highest levels of support.</w:t>
      </w:r>
      <w:r w:rsidR="003B60E8" w:rsidRPr="00DF57A0">
        <w:rPr>
          <w:b/>
          <w:color w:val="000000" w:themeColor="text1"/>
          <w:sz w:val="22"/>
          <w:szCs w:val="22"/>
        </w:rPr>
        <w:t xml:space="preserve"> </w:t>
      </w:r>
      <w:r w:rsidR="00975CD6" w:rsidRPr="005F222F">
        <w:rPr>
          <w:color w:val="000000" w:themeColor="text1"/>
          <w:sz w:val="22"/>
          <w:szCs w:val="22"/>
        </w:rPr>
        <w:t>This figure is of no importance since the colour coding is a result of  discussions between headteachers and challenge advisors. It is therefore a subjective evaluation.</w:t>
      </w:r>
      <w:r w:rsidR="00A20CC8" w:rsidRPr="005F222F">
        <w:rPr>
          <w:color w:val="000000" w:themeColor="text1"/>
          <w:sz w:val="22"/>
          <w:szCs w:val="22"/>
        </w:rPr>
        <w:t xml:space="preserve">  The SEA is informed that changes in colour code are made when a new headteacher takes over, regardless of </w:t>
      </w:r>
      <w:r w:rsidR="005E6621" w:rsidRPr="005F222F">
        <w:rPr>
          <w:color w:val="000000" w:themeColor="text1"/>
          <w:sz w:val="22"/>
          <w:szCs w:val="22"/>
        </w:rPr>
        <w:t xml:space="preserve">any change in </w:t>
      </w:r>
      <w:r w:rsidR="00A20CC8" w:rsidRPr="005F222F">
        <w:rPr>
          <w:color w:val="000000" w:themeColor="text1"/>
          <w:sz w:val="22"/>
          <w:szCs w:val="22"/>
        </w:rPr>
        <w:t>the quality of education.</w:t>
      </w:r>
    </w:p>
    <w:p w14:paraId="227EB97B" w14:textId="625C8273" w:rsidR="005F222F" w:rsidRPr="00457A3B" w:rsidRDefault="008E1558" w:rsidP="0098735A">
      <w:pPr>
        <w:pStyle w:val="ListParagraph"/>
        <w:numPr>
          <w:ilvl w:val="0"/>
          <w:numId w:val="6"/>
        </w:numPr>
        <w:ind w:left="567" w:hanging="567"/>
        <w:rPr>
          <w:b/>
          <w:color w:val="000000" w:themeColor="text1"/>
          <w:sz w:val="22"/>
          <w:szCs w:val="22"/>
        </w:rPr>
      </w:pPr>
      <w:r w:rsidRPr="00DF57A0">
        <w:rPr>
          <w:b/>
          <w:color w:val="000000" w:themeColor="text1"/>
          <w:sz w:val="22"/>
          <w:szCs w:val="22"/>
        </w:rPr>
        <w:t>No local authorities are now in special measures.</w:t>
      </w:r>
      <w:r w:rsidR="00457A3B">
        <w:rPr>
          <w:b/>
          <w:color w:val="000000" w:themeColor="text1"/>
          <w:sz w:val="22"/>
          <w:szCs w:val="22"/>
        </w:rPr>
        <w:t xml:space="preserve"> </w:t>
      </w:r>
      <w:r w:rsidR="00FA0529" w:rsidRPr="00457A3B">
        <w:rPr>
          <w:color w:val="000000" w:themeColor="text1"/>
          <w:sz w:val="22"/>
          <w:szCs w:val="22"/>
        </w:rPr>
        <w:t>However Estyn reports that the education service in Pembroke causes “significant concern. Literacy, numeracy and 2</w:t>
      </w:r>
      <w:r w:rsidR="00FA0529" w:rsidRPr="00457A3B">
        <w:rPr>
          <w:color w:val="000000" w:themeColor="text1"/>
          <w:sz w:val="22"/>
          <w:szCs w:val="22"/>
          <w:vertAlign w:val="superscript"/>
        </w:rPr>
        <w:t>nd</w:t>
      </w:r>
      <w:r w:rsidR="00FA0529" w:rsidRPr="00457A3B">
        <w:rPr>
          <w:color w:val="000000" w:themeColor="text1"/>
          <w:sz w:val="22"/>
          <w:szCs w:val="22"/>
        </w:rPr>
        <w:t xml:space="preserve"> language Welsh require improvement” in half the primary schools and all the secondary schools inspected since 2017. Wrexham must “urgently improve outcomes for learners”. In Powys “many secondary schools are weak”. (Western Mail 12/2/20). We must not make statements that conflict with the evidence.</w:t>
      </w:r>
    </w:p>
    <w:p w14:paraId="5EE41A48" w14:textId="73EBD2E3" w:rsidR="00975CD6" w:rsidRPr="005F222F" w:rsidRDefault="008E1558" w:rsidP="0098735A">
      <w:pPr>
        <w:pStyle w:val="ListParagraph"/>
        <w:numPr>
          <w:ilvl w:val="0"/>
          <w:numId w:val="6"/>
        </w:numPr>
        <w:ind w:left="567" w:hanging="567"/>
        <w:rPr>
          <w:b/>
          <w:color w:val="000000" w:themeColor="text1"/>
          <w:sz w:val="22"/>
          <w:szCs w:val="22"/>
        </w:rPr>
      </w:pPr>
      <w:r w:rsidRPr="00DF57A0">
        <w:rPr>
          <w:b/>
          <w:color w:val="000000" w:themeColor="text1"/>
          <w:sz w:val="22"/>
          <w:szCs w:val="22"/>
        </w:rPr>
        <w:t xml:space="preserve">The OECD supports the </w:t>
      </w:r>
      <w:r w:rsidR="00807D2C">
        <w:rPr>
          <w:b/>
          <w:color w:val="000000" w:themeColor="text1"/>
          <w:sz w:val="22"/>
          <w:szCs w:val="22"/>
        </w:rPr>
        <w:t>W</w:t>
      </w:r>
      <w:r w:rsidRPr="00DF57A0">
        <w:rPr>
          <w:b/>
          <w:color w:val="000000" w:themeColor="text1"/>
          <w:sz w:val="22"/>
          <w:szCs w:val="22"/>
        </w:rPr>
        <w:t>elsh Government reforms.</w:t>
      </w:r>
      <w:r w:rsidR="00AE52D3" w:rsidRPr="00DF57A0">
        <w:rPr>
          <w:b/>
          <w:color w:val="000000" w:themeColor="text1"/>
          <w:sz w:val="22"/>
          <w:szCs w:val="22"/>
        </w:rPr>
        <w:t xml:space="preserve"> </w:t>
      </w:r>
      <w:r w:rsidR="00975CD6" w:rsidRPr="005F222F">
        <w:rPr>
          <w:color w:val="000000" w:themeColor="text1"/>
          <w:sz w:val="22"/>
          <w:szCs w:val="22"/>
        </w:rPr>
        <w:t xml:space="preserve">We wait to see if this has any effect on </w:t>
      </w:r>
      <w:r w:rsidR="00955BE5" w:rsidRPr="005F222F">
        <w:rPr>
          <w:color w:val="000000" w:themeColor="text1"/>
          <w:sz w:val="22"/>
          <w:szCs w:val="22"/>
        </w:rPr>
        <w:t xml:space="preserve">the </w:t>
      </w:r>
      <w:r w:rsidR="00975CD6" w:rsidRPr="005F222F">
        <w:rPr>
          <w:color w:val="000000" w:themeColor="text1"/>
          <w:sz w:val="22"/>
          <w:szCs w:val="22"/>
        </w:rPr>
        <w:t>PISA</w:t>
      </w:r>
      <w:r w:rsidR="00A20CC8" w:rsidRPr="005F222F">
        <w:rPr>
          <w:color w:val="000000" w:themeColor="text1"/>
          <w:sz w:val="22"/>
          <w:szCs w:val="22"/>
        </w:rPr>
        <w:t xml:space="preserve"> results</w:t>
      </w:r>
      <w:r w:rsidR="00955BE5" w:rsidRPr="005F222F">
        <w:rPr>
          <w:color w:val="000000" w:themeColor="text1"/>
          <w:sz w:val="22"/>
          <w:szCs w:val="22"/>
        </w:rPr>
        <w:t>.</w:t>
      </w:r>
    </w:p>
    <w:p w14:paraId="712FA0FB" w14:textId="12055251" w:rsidR="008E1558" w:rsidRDefault="008E1558" w:rsidP="008E1558">
      <w:pPr>
        <w:rPr>
          <w:sz w:val="22"/>
          <w:szCs w:val="22"/>
        </w:rPr>
      </w:pPr>
    </w:p>
    <w:p w14:paraId="7133AD69" w14:textId="77777777" w:rsidR="00457A3B" w:rsidRPr="005E6621" w:rsidRDefault="00457A3B" w:rsidP="008E1558">
      <w:pPr>
        <w:rPr>
          <w:sz w:val="22"/>
          <w:szCs w:val="22"/>
        </w:rPr>
      </w:pPr>
    </w:p>
    <w:p w14:paraId="315BD188" w14:textId="792A9C84" w:rsidR="005E6621" w:rsidRPr="00AE52D3" w:rsidRDefault="008E1558" w:rsidP="008E1558">
      <w:pPr>
        <w:ind w:left="426" w:hanging="426"/>
        <w:rPr>
          <w:b/>
        </w:rPr>
      </w:pPr>
      <w:r w:rsidRPr="00AE52D3">
        <w:rPr>
          <w:b/>
        </w:rPr>
        <w:lastRenderedPageBreak/>
        <w:t>E]</w:t>
      </w:r>
      <w:r w:rsidRPr="00AE52D3">
        <w:rPr>
          <w:b/>
        </w:rPr>
        <w:tab/>
        <w:t>Changes to the Welsh Curriculum</w:t>
      </w:r>
    </w:p>
    <w:p w14:paraId="581CF527" w14:textId="77777777" w:rsidR="00457A3B" w:rsidRDefault="008E1558" w:rsidP="005F222F">
      <w:pPr>
        <w:pStyle w:val="ListParagraph"/>
        <w:numPr>
          <w:ilvl w:val="0"/>
          <w:numId w:val="8"/>
        </w:numPr>
        <w:ind w:left="567" w:hanging="567"/>
        <w:rPr>
          <w:b/>
          <w:color w:val="000000" w:themeColor="text1"/>
          <w:sz w:val="22"/>
          <w:szCs w:val="22"/>
        </w:rPr>
      </w:pPr>
      <w:r w:rsidRPr="00DF57A0">
        <w:rPr>
          <w:b/>
          <w:color w:val="000000" w:themeColor="text1"/>
          <w:sz w:val="22"/>
          <w:szCs w:val="22"/>
        </w:rPr>
        <w:t>The Welsh Government has published ‘A curriculum for Wales – a curriculum for life’.</w:t>
      </w:r>
      <w:r w:rsidR="005F222F">
        <w:rPr>
          <w:b/>
          <w:color w:val="000000" w:themeColor="text1"/>
          <w:sz w:val="22"/>
          <w:szCs w:val="22"/>
        </w:rPr>
        <w:t xml:space="preserve"> </w:t>
      </w:r>
    </w:p>
    <w:p w14:paraId="424C7792" w14:textId="7B8FD64B" w:rsidR="00955BE5" w:rsidRPr="00457A3B" w:rsidRDefault="00955BE5" w:rsidP="00457A3B">
      <w:pPr>
        <w:ind w:left="567"/>
        <w:rPr>
          <w:b/>
          <w:color w:val="000000" w:themeColor="text1"/>
          <w:sz w:val="22"/>
          <w:szCs w:val="22"/>
        </w:rPr>
      </w:pPr>
      <w:r w:rsidRPr="00457A3B">
        <w:rPr>
          <w:color w:val="000000" w:themeColor="text1"/>
          <w:sz w:val="22"/>
          <w:szCs w:val="22"/>
        </w:rPr>
        <w:t>The SEA welcomed the publication of the original Donaldson report on Curriculum and Assessment arrangements 2015.</w:t>
      </w:r>
      <w:r w:rsidR="00A20CC8" w:rsidRPr="00457A3B">
        <w:rPr>
          <w:color w:val="000000" w:themeColor="text1"/>
          <w:sz w:val="22"/>
          <w:szCs w:val="22"/>
        </w:rPr>
        <w:t xml:space="preserve"> This was a good document and its implementation </w:t>
      </w:r>
      <w:r w:rsidR="0098735A" w:rsidRPr="00457A3B">
        <w:rPr>
          <w:color w:val="000000" w:themeColor="text1"/>
          <w:sz w:val="22"/>
          <w:szCs w:val="22"/>
        </w:rPr>
        <w:t>c</w:t>
      </w:r>
      <w:r w:rsidR="00A20CC8" w:rsidRPr="00457A3B">
        <w:rPr>
          <w:color w:val="000000" w:themeColor="text1"/>
          <w:sz w:val="22"/>
          <w:szCs w:val="22"/>
        </w:rPr>
        <w:t>ould lead to</w:t>
      </w:r>
      <w:r w:rsidR="00E46EC6" w:rsidRPr="00457A3B">
        <w:rPr>
          <w:color w:val="000000" w:themeColor="text1"/>
          <w:sz w:val="22"/>
          <w:szCs w:val="22"/>
        </w:rPr>
        <w:t xml:space="preserve"> improved teaching and learning.</w:t>
      </w:r>
    </w:p>
    <w:p w14:paraId="28F403B6" w14:textId="634A125D" w:rsidR="005E6621" w:rsidRPr="005F222F" w:rsidRDefault="008E1558" w:rsidP="0098735A">
      <w:pPr>
        <w:pStyle w:val="ListParagraph"/>
        <w:numPr>
          <w:ilvl w:val="0"/>
          <w:numId w:val="8"/>
        </w:numPr>
        <w:ind w:left="567" w:hanging="567"/>
        <w:rPr>
          <w:b/>
          <w:color w:val="000000" w:themeColor="text1"/>
          <w:sz w:val="22"/>
          <w:szCs w:val="22"/>
        </w:rPr>
      </w:pPr>
      <w:r w:rsidRPr="00DF57A0">
        <w:rPr>
          <w:b/>
          <w:color w:val="000000" w:themeColor="text1"/>
          <w:sz w:val="22"/>
          <w:szCs w:val="22"/>
        </w:rPr>
        <w:t>Support for implementation is given through a network of Pioneer Schools.</w:t>
      </w:r>
      <w:r w:rsidR="003B60E8" w:rsidRPr="00DF57A0">
        <w:rPr>
          <w:b/>
          <w:color w:val="000000" w:themeColor="text1"/>
          <w:sz w:val="22"/>
          <w:szCs w:val="22"/>
        </w:rPr>
        <w:t xml:space="preserve"> </w:t>
      </w:r>
      <w:r w:rsidR="005F222F" w:rsidRPr="005F222F">
        <w:rPr>
          <w:color w:val="000000" w:themeColor="text1"/>
          <w:sz w:val="22"/>
          <w:szCs w:val="22"/>
        </w:rPr>
        <w:t xml:space="preserve">The SEA feels </w:t>
      </w:r>
      <w:r w:rsidR="00955BE5" w:rsidRPr="005F222F">
        <w:rPr>
          <w:color w:val="000000" w:themeColor="text1"/>
          <w:sz w:val="22"/>
          <w:szCs w:val="22"/>
        </w:rPr>
        <w:t>that insufficient preparation has gone into its implementation. There has been limited involvement of those whose job it is to support teacher development. Consortia and Higher Education Institutions have largely delegated responsibility to seconded class teachers. The pioneer schools do not reflect the diversity of school types and teacher expertise</w:t>
      </w:r>
      <w:r w:rsidR="005F222F" w:rsidRPr="005F222F">
        <w:rPr>
          <w:color w:val="000000" w:themeColor="text1"/>
          <w:sz w:val="22"/>
          <w:szCs w:val="22"/>
        </w:rPr>
        <w:t>. T</w:t>
      </w:r>
      <w:r w:rsidR="000535BC" w:rsidRPr="005F222F">
        <w:rPr>
          <w:color w:val="000000" w:themeColor="text1"/>
          <w:sz w:val="22"/>
          <w:szCs w:val="22"/>
        </w:rPr>
        <w:t xml:space="preserve">here has been insufficient contact and cross fertilisation between the pioneer schools and the rest of the profession. </w:t>
      </w:r>
      <w:r w:rsidR="00955BE5" w:rsidRPr="005F222F">
        <w:rPr>
          <w:color w:val="000000" w:themeColor="text1"/>
          <w:sz w:val="22"/>
          <w:szCs w:val="22"/>
        </w:rPr>
        <w:t>They were given limited areas to research, with overemphasis on information technology and too little on teaching and learning, which should have been the main point.</w:t>
      </w:r>
      <w:r w:rsidR="00AE52D3" w:rsidRPr="005F222F">
        <w:rPr>
          <w:color w:val="000000" w:themeColor="text1"/>
          <w:sz w:val="22"/>
          <w:szCs w:val="22"/>
        </w:rPr>
        <w:t xml:space="preserve"> </w:t>
      </w:r>
      <w:r w:rsidR="00955BE5" w:rsidRPr="005F222F">
        <w:rPr>
          <w:color w:val="000000" w:themeColor="text1"/>
          <w:sz w:val="22"/>
          <w:szCs w:val="22"/>
        </w:rPr>
        <w:t xml:space="preserve">Teachers involved had limited </w:t>
      </w:r>
      <w:r w:rsidR="000535BC" w:rsidRPr="005F222F">
        <w:rPr>
          <w:color w:val="000000" w:themeColor="text1"/>
          <w:sz w:val="22"/>
          <w:szCs w:val="22"/>
        </w:rPr>
        <w:t>non-contact</w:t>
      </w:r>
      <w:r w:rsidR="00955BE5" w:rsidRPr="005F222F">
        <w:rPr>
          <w:color w:val="000000" w:themeColor="text1"/>
          <w:sz w:val="22"/>
          <w:szCs w:val="22"/>
        </w:rPr>
        <w:t xml:space="preserve"> time</w:t>
      </w:r>
      <w:r w:rsidR="000535BC" w:rsidRPr="005F222F">
        <w:rPr>
          <w:color w:val="000000" w:themeColor="text1"/>
          <w:sz w:val="22"/>
          <w:szCs w:val="22"/>
        </w:rPr>
        <w:t xml:space="preserve"> a</w:t>
      </w:r>
      <w:r w:rsidR="00955BE5" w:rsidRPr="005F222F">
        <w:rPr>
          <w:color w:val="000000" w:themeColor="text1"/>
          <w:sz w:val="22"/>
          <w:szCs w:val="22"/>
        </w:rPr>
        <w:t>nd resources and insufficient support from professional educationalists (such as the Nuffield Foundation</w:t>
      </w:r>
      <w:r w:rsidR="00E46EC6" w:rsidRPr="005F222F">
        <w:rPr>
          <w:color w:val="000000" w:themeColor="text1"/>
          <w:sz w:val="22"/>
          <w:szCs w:val="22"/>
        </w:rPr>
        <w:t xml:space="preserve"> in England</w:t>
      </w:r>
      <w:r w:rsidR="00955BE5" w:rsidRPr="005F222F">
        <w:rPr>
          <w:color w:val="000000" w:themeColor="text1"/>
          <w:sz w:val="22"/>
          <w:szCs w:val="22"/>
        </w:rPr>
        <w:t>)</w:t>
      </w:r>
      <w:r w:rsidR="000535BC" w:rsidRPr="005F222F">
        <w:rPr>
          <w:color w:val="000000" w:themeColor="text1"/>
          <w:sz w:val="22"/>
          <w:szCs w:val="22"/>
        </w:rPr>
        <w:t>.</w:t>
      </w:r>
      <w:r w:rsidR="0098735A" w:rsidRPr="005F222F">
        <w:rPr>
          <w:color w:val="000000" w:themeColor="text1"/>
          <w:sz w:val="22"/>
          <w:szCs w:val="22"/>
        </w:rPr>
        <w:t xml:space="preserve"> The Curriculum for Wales Guidance is unclear and does not support curriculum change as envisaged by Professor Donaldson.</w:t>
      </w:r>
      <w:r w:rsidR="000535BC" w:rsidRPr="005F222F">
        <w:rPr>
          <w:color w:val="000000" w:themeColor="text1"/>
          <w:sz w:val="22"/>
          <w:szCs w:val="22"/>
        </w:rPr>
        <w:t xml:space="preserve"> </w:t>
      </w:r>
    </w:p>
    <w:p w14:paraId="1536BD0B" w14:textId="34D08B9B" w:rsidR="007B2A34" w:rsidRPr="005F222F" w:rsidRDefault="007B2A34" w:rsidP="005F222F">
      <w:pPr>
        <w:pStyle w:val="ListParagraph"/>
        <w:numPr>
          <w:ilvl w:val="0"/>
          <w:numId w:val="8"/>
        </w:numPr>
        <w:ind w:left="567" w:hanging="567"/>
        <w:rPr>
          <w:b/>
          <w:color w:val="000000" w:themeColor="text1"/>
          <w:sz w:val="22"/>
          <w:szCs w:val="22"/>
        </w:rPr>
      </w:pPr>
      <w:r w:rsidRPr="00DF57A0">
        <w:rPr>
          <w:b/>
          <w:color w:val="000000" w:themeColor="text1"/>
          <w:sz w:val="22"/>
          <w:szCs w:val="22"/>
        </w:rPr>
        <w:t>A National Endowment for Music is to be established.</w:t>
      </w:r>
      <w:r w:rsidR="005F222F">
        <w:rPr>
          <w:b/>
          <w:color w:val="000000" w:themeColor="text1"/>
          <w:sz w:val="22"/>
          <w:szCs w:val="22"/>
        </w:rPr>
        <w:t xml:space="preserve"> </w:t>
      </w:r>
      <w:r w:rsidR="000535BC" w:rsidRPr="005F222F">
        <w:rPr>
          <w:color w:val="000000" w:themeColor="text1"/>
          <w:sz w:val="22"/>
          <w:szCs w:val="22"/>
        </w:rPr>
        <w:t xml:space="preserve">Wales </w:t>
      </w:r>
      <w:r w:rsidR="008A60DC" w:rsidRPr="005F222F">
        <w:rPr>
          <w:color w:val="000000" w:themeColor="text1"/>
          <w:sz w:val="22"/>
          <w:szCs w:val="22"/>
        </w:rPr>
        <w:t>is</w:t>
      </w:r>
      <w:r w:rsidR="000535BC" w:rsidRPr="005F222F">
        <w:rPr>
          <w:color w:val="000000" w:themeColor="text1"/>
          <w:sz w:val="22"/>
          <w:szCs w:val="22"/>
        </w:rPr>
        <w:t xml:space="preserve"> the only UK country with no national plan for music</w:t>
      </w:r>
      <w:r w:rsidR="00807D2C" w:rsidRPr="005F222F">
        <w:rPr>
          <w:color w:val="000000" w:themeColor="text1"/>
          <w:sz w:val="22"/>
          <w:szCs w:val="22"/>
        </w:rPr>
        <w:t xml:space="preserve"> (NEU November 2019). </w:t>
      </w:r>
    </w:p>
    <w:p w14:paraId="3F889120" w14:textId="77777777" w:rsidR="005F222F" w:rsidRPr="005F222F" w:rsidRDefault="005F222F" w:rsidP="005F222F">
      <w:pPr>
        <w:rPr>
          <w:b/>
          <w:color w:val="000000" w:themeColor="text1"/>
          <w:sz w:val="22"/>
          <w:szCs w:val="22"/>
        </w:rPr>
      </w:pPr>
    </w:p>
    <w:p w14:paraId="59BCDF31" w14:textId="496A736D" w:rsidR="005E6621" w:rsidRPr="00AE52D3" w:rsidRDefault="007B2A34" w:rsidP="007B2A34">
      <w:pPr>
        <w:ind w:left="426" w:hanging="426"/>
        <w:rPr>
          <w:b/>
        </w:rPr>
      </w:pPr>
      <w:r w:rsidRPr="00AE52D3">
        <w:rPr>
          <w:b/>
        </w:rPr>
        <w:t>F]</w:t>
      </w:r>
      <w:r w:rsidRPr="00AE52D3">
        <w:rPr>
          <w:b/>
        </w:rPr>
        <w:tab/>
        <w:t>Supporting the Profession</w:t>
      </w:r>
    </w:p>
    <w:p w14:paraId="1CDC8345" w14:textId="0FBCE246" w:rsidR="000535BC" w:rsidRPr="00457A3B" w:rsidRDefault="007B2A34" w:rsidP="0017471E">
      <w:pPr>
        <w:pStyle w:val="ListParagraph"/>
        <w:numPr>
          <w:ilvl w:val="0"/>
          <w:numId w:val="9"/>
        </w:numPr>
        <w:ind w:left="567" w:hanging="567"/>
        <w:rPr>
          <w:b/>
          <w:sz w:val="22"/>
          <w:szCs w:val="22"/>
        </w:rPr>
      </w:pPr>
      <w:r w:rsidRPr="00DF57A0">
        <w:rPr>
          <w:b/>
          <w:sz w:val="22"/>
          <w:szCs w:val="22"/>
        </w:rPr>
        <w:t>High quality Professional Development.</w:t>
      </w:r>
      <w:r w:rsidR="00457A3B">
        <w:rPr>
          <w:b/>
          <w:sz w:val="22"/>
          <w:szCs w:val="22"/>
        </w:rPr>
        <w:t xml:space="preserve"> </w:t>
      </w:r>
      <w:r w:rsidR="00AA033F" w:rsidRPr="00457A3B">
        <w:rPr>
          <w:color w:val="000000" w:themeColor="text1"/>
          <w:sz w:val="22"/>
          <w:szCs w:val="22"/>
        </w:rPr>
        <w:t>This is a vital part of the task of school improvement. Teachers must be given back the authority to know their classes, to plan work that meets their needs, to differentiate the work to meet the needs of all pupils and not to be constrained by artificial constructs such as the old national curriculum and whole school plans that do not fit the</w:t>
      </w:r>
      <w:r w:rsidR="00807D2C" w:rsidRPr="00457A3B">
        <w:rPr>
          <w:color w:val="000000" w:themeColor="text1"/>
          <w:sz w:val="22"/>
          <w:szCs w:val="22"/>
        </w:rPr>
        <w:t>ir</w:t>
      </w:r>
      <w:r w:rsidR="00AA033F" w:rsidRPr="00457A3B">
        <w:rPr>
          <w:color w:val="000000" w:themeColor="text1"/>
          <w:sz w:val="22"/>
          <w:szCs w:val="22"/>
        </w:rPr>
        <w:t xml:space="preserve"> pupils.</w:t>
      </w:r>
    </w:p>
    <w:p w14:paraId="1C756E62" w14:textId="1BEA0CFE" w:rsidR="00AA033F" w:rsidRPr="00457A3B" w:rsidRDefault="007B2A34" w:rsidP="0017471E">
      <w:pPr>
        <w:pStyle w:val="ListParagraph"/>
        <w:numPr>
          <w:ilvl w:val="0"/>
          <w:numId w:val="9"/>
        </w:numPr>
        <w:ind w:left="567" w:hanging="567"/>
        <w:rPr>
          <w:b/>
          <w:color w:val="000000" w:themeColor="text1"/>
          <w:sz w:val="22"/>
          <w:szCs w:val="22"/>
        </w:rPr>
      </w:pPr>
      <w:r w:rsidRPr="00DF57A0">
        <w:rPr>
          <w:b/>
          <w:color w:val="000000" w:themeColor="text1"/>
          <w:sz w:val="22"/>
          <w:szCs w:val="22"/>
        </w:rPr>
        <w:t>Initial Teacher Training.</w:t>
      </w:r>
      <w:r w:rsidR="00457A3B">
        <w:rPr>
          <w:b/>
          <w:color w:val="000000" w:themeColor="text1"/>
          <w:sz w:val="22"/>
          <w:szCs w:val="22"/>
        </w:rPr>
        <w:t xml:space="preserve"> </w:t>
      </w:r>
      <w:r w:rsidR="00AA033F" w:rsidRPr="00457A3B">
        <w:rPr>
          <w:color w:val="000000" w:themeColor="text1"/>
          <w:sz w:val="22"/>
          <w:szCs w:val="22"/>
        </w:rPr>
        <w:t xml:space="preserve">This is a vital part of improving education and reversing the decline in teacher autonomy that has taken place since the Thatcherite Education Reform Act of 1988. Initial Teacher Training must have a University dimension as well as a school dimension. It must include understanding of child development as well as of </w:t>
      </w:r>
      <w:r w:rsidR="00D30CDA">
        <w:rPr>
          <w:color w:val="000000" w:themeColor="text1"/>
          <w:sz w:val="22"/>
          <w:szCs w:val="22"/>
        </w:rPr>
        <w:t xml:space="preserve">literacy, numeracy, </w:t>
      </w:r>
      <w:r w:rsidR="00AA033F" w:rsidRPr="00457A3B">
        <w:rPr>
          <w:color w:val="000000" w:themeColor="text1"/>
          <w:sz w:val="22"/>
          <w:szCs w:val="22"/>
        </w:rPr>
        <w:t>pedagogy and social development. It must also pay due attention to local issues from ecology to working class history.</w:t>
      </w:r>
      <w:r w:rsidR="00457A3B">
        <w:rPr>
          <w:b/>
          <w:color w:val="000000" w:themeColor="text1"/>
          <w:sz w:val="22"/>
          <w:szCs w:val="22"/>
        </w:rPr>
        <w:t xml:space="preserve"> </w:t>
      </w:r>
      <w:r w:rsidR="00AA033F" w:rsidRPr="00457A3B">
        <w:rPr>
          <w:color w:val="000000" w:themeColor="text1"/>
          <w:sz w:val="22"/>
          <w:szCs w:val="22"/>
        </w:rPr>
        <w:t>We</w:t>
      </w:r>
      <w:r w:rsidR="004A29AB" w:rsidRPr="00457A3B">
        <w:rPr>
          <w:color w:val="000000" w:themeColor="text1"/>
          <w:sz w:val="22"/>
          <w:szCs w:val="22"/>
        </w:rPr>
        <w:t xml:space="preserve"> </w:t>
      </w:r>
      <w:r w:rsidR="00AA033F" w:rsidRPr="00457A3B">
        <w:rPr>
          <w:color w:val="000000" w:themeColor="text1"/>
          <w:sz w:val="22"/>
          <w:szCs w:val="22"/>
        </w:rPr>
        <w:t xml:space="preserve">also need more people to be trained in Educational Psychology to contribute to the diagnosis of children, but also to participate in the training of teachers to recognise and plan for </w:t>
      </w:r>
      <w:r w:rsidR="00D30CDA">
        <w:rPr>
          <w:color w:val="000000" w:themeColor="text1"/>
          <w:sz w:val="22"/>
          <w:szCs w:val="22"/>
        </w:rPr>
        <w:t xml:space="preserve">neuro-diverse conditions such as Asperger’s, Autism and Dyslexia and </w:t>
      </w:r>
      <w:r w:rsidR="008A60DC" w:rsidRPr="00457A3B">
        <w:rPr>
          <w:color w:val="000000" w:themeColor="text1"/>
          <w:sz w:val="22"/>
          <w:szCs w:val="22"/>
        </w:rPr>
        <w:t xml:space="preserve">the removal of </w:t>
      </w:r>
      <w:r w:rsidR="004A29AB" w:rsidRPr="00457A3B">
        <w:rPr>
          <w:color w:val="000000" w:themeColor="text1"/>
          <w:sz w:val="22"/>
          <w:szCs w:val="22"/>
        </w:rPr>
        <w:t>behavioural and social  obstacles to learning.</w:t>
      </w:r>
    </w:p>
    <w:p w14:paraId="29248398" w14:textId="4374970C" w:rsidR="000535BC" w:rsidRPr="00457A3B" w:rsidRDefault="007B2A34" w:rsidP="0017471E">
      <w:pPr>
        <w:pStyle w:val="ListParagraph"/>
        <w:numPr>
          <w:ilvl w:val="0"/>
          <w:numId w:val="9"/>
        </w:numPr>
        <w:ind w:left="567" w:hanging="567"/>
        <w:rPr>
          <w:b/>
          <w:color w:val="000000" w:themeColor="text1"/>
          <w:sz w:val="22"/>
          <w:szCs w:val="22"/>
        </w:rPr>
      </w:pPr>
      <w:r w:rsidRPr="00DF57A0">
        <w:rPr>
          <w:b/>
          <w:color w:val="000000" w:themeColor="text1"/>
          <w:sz w:val="22"/>
          <w:szCs w:val="22"/>
        </w:rPr>
        <w:t>Supporting Leadership.</w:t>
      </w:r>
      <w:r w:rsidR="00457A3B">
        <w:rPr>
          <w:b/>
          <w:color w:val="000000" w:themeColor="text1"/>
          <w:sz w:val="22"/>
          <w:szCs w:val="22"/>
        </w:rPr>
        <w:t xml:space="preserve"> </w:t>
      </w:r>
      <w:r w:rsidR="008A60DC" w:rsidRPr="00457A3B">
        <w:rPr>
          <w:color w:val="000000" w:themeColor="text1"/>
          <w:sz w:val="22"/>
          <w:szCs w:val="22"/>
        </w:rPr>
        <w:t>S</w:t>
      </w:r>
      <w:r w:rsidR="00DF57A0" w:rsidRPr="00457A3B">
        <w:rPr>
          <w:color w:val="000000" w:themeColor="text1"/>
          <w:sz w:val="22"/>
          <w:szCs w:val="22"/>
        </w:rPr>
        <w:t>chool</w:t>
      </w:r>
      <w:r w:rsidR="004A29AB" w:rsidRPr="00457A3B">
        <w:rPr>
          <w:color w:val="000000" w:themeColor="text1"/>
          <w:sz w:val="22"/>
          <w:szCs w:val="22"/>
        </w:rPr>
        <w:t xml:space="preserve"> Leadership must take the lead in promoting good teaching and learning. Their role should not be to continually struggle against underfunding.</w:t>
      </w:r>
      <w:r w:rsidR="00457A3B">
        <w:rPr>
          <w:color w:val="000000" w:themeColor="text1"/>
          <w:sz w:val="22"/>
          <w:szCs w:val="22"/>
        </w:rPr>
        <w:t xml:space="preserve"> Grants for specific purposes (such as Additional Learning Needs and Minority Ethnic Achievement) should be reliable year on year and not dependent on grant writing.</w:t>
      </w:r>
    </w:p>
    <w:p w14:paraId="38CFE2C8" w14:textId="032FBB17" w:rsidR="000535BC" w:rsidRPr="00457A3B" w:rsidRDefault="007B2A34" w:rsidP="0017471E">
      <w:pPr>
        <w:pStyle w:val="ListParagraph"/>
        <w:numPr>
          <w:ilvl w:val="0"/>
          <w:numId w:val="9"/>
        </w:numPr>
        <w:ind w:left="567" w:hanging="567"/>
        <w:rPr>
          <w:b/>
          <w:color w:val="000000" w:themeColor="text1"/>
          <w:sz w:val="22"/>
          <w:szCs w:val="22"/>
        </w:rPr>
      </w:pPr>
      <w:r w:rsidRPr="00DF57A0">
        <w:rPr>
          <w:b/>
          <w:color w:val="000000" w:themeColor="text1"/>
          <w:sz w:val="22"/>
          <w:szCs w:val="22"/>
        </w:rPr>
        <w:t>Masters in Educational Practice.</w:t>
      </w:r>
      <w:r w:rsidR="00457A3B">
        <w:rPr>
          <w:b/>
          <w:color w:val="000000" w:themeColor="text1"/>
          <w:sz w:val="22"/>
          <w:szCs w:val="22"/>
        </w:rPr>
        <w:t xml:space="preserve"> </w:t>
      </w:r>
      <w:r w:rsidR="004158C9" w:rsidRPr="00457A3B">
        <w:rPr>
          <w:color w:val="000000" w:themeColor="text1"/>
          <w:sz w:val="22"/>
          <w:szCs w:val="22"/>
        </w:rPr>
        <w:t>This is an important</w:t>
      </w:r>
      <w:r w:rsidR="0029525B" w:rsidRPr="00457A3B">
        <w:rPr>
          <w:color w:val="000000" w:themeColor="text1"/>
          <w:sz w:val="22"/>
          <w:szCs w:val="22"/>
        </w:rPr>
        <w:t xml:space="preserve"> weapon in improving teaching and learning. It can help teachers seize back control of lesson planning – as indicated in the Donaldson report. It is also a point to be learnt from the success of Finnish Education in developing respect for teaching.</w:t>
      </w:r>
    </w:p>
    <w:p w14:paraId="5D4566B2" w14:textId="78F902C5" w:rsidR="000535BC" w:rsidRPr="00457A3B" w:rsidRDefault="007B2A34" w:rsidP="0017471E">
      <w:pPr>
        <w:pStyle w:val="ListParagraph"/>
        <w:numPr>
          <w:ilvl w:val="0"/>
          <w:numId w:val="9"/>
        </w:numPr>
        <w:ind w:left="567" w:hanging="567"/>
        <w:rPr>
          <w:b/>
          <w:color w:val="000000" w:themeColor="text1"/>
          <w:sz w:val="22"/>
          <w:szCs w:val="22"/>
        </w:rPr>
      </w:pPr>
      <w:r w:rsidRPr="00DF57A0">
        <w:rPr>
          <w:b/>
          <w:color w:val="000000" w:themeColor="text1"/>
          <w:sz w:val="22"/>
          <w:szCs w:val="22"/>
        </w:rPr>
        <w:t>Federations of schools.</w:t>
      </w:r>
      <w:r w:rsidR="00457A3B">
        <w:rPr>
          <w:b/>
          <w:color w:val="000000" w:themeColor="text1"/>
          <w:sz w:val="22"/>
          <w:szCs w:val="22"/>
        </w:rPr>
        <w:t xml:space="preserve"> </w:t>
      </w:r>
      <w:r w:rsidR="000535BC" w:rsidRPr="00457A3B">
        <w:rPr>
          <w:color w:val="000000" w:themeColor="text1"/>
          <w:sz w:val="22"/>
          <w:szCs w:val="22"/>
        </w:rPr>
        <w:t xml:space="preserve">The SEA supports the good work that has been done under school clusters over the past 20 years. It is not clear what is meant </w:t>
      </w:r>
      <w:r w:rsidR="008A60DC" w:rsidRPr="00457A3B">
        <w:rPr>
          <w:color w:val="000000" w:themeColor="text1"/>
          <w:sz w:val="22"/>
          <w:szCs w:val="22"/>
        </w:rPr>
        <w:t xml:space="preserve">here </w:t>
      </w:r>
      <w:r w:rsidR="000535BC" w:rsidRPr="00457A3B">
        <w:rPr>
          <w:color w:val="000000" w:themeColor="text1"/>
          <w:sz w:val="22"/>
          <w:szCs w:val="22"/>
        </w:rPr>
        <w:t>by ‘federations’, especially given the misuse in England of Academy chains.</w:t>
      </w:r>
    </w:p>
    <w:p w14:paraId="7C654D72" w14:textId="07E444CC" w:rsidR="007B2A34" w:rsidRPr="00DF57A0" w:rsidRDefault="007B2A34" w:rsidP="0017471E">
      <w:pPr>
        <w:pStyle w:val="ListParagraph"/>
        <w:numPr>
          <w:ilvl w:val="0"/>
          <w:numId w:val="9"/>
        </w:numPr>
        <w:ind w:left="567" w:hanging="567"/>
        <w:rPr>
          <w:b/>
          <w:color w:val="000000" w:themeColor="text1"/>
          <w:sz w:val="22"/>
          <w:szCs w:val="22"/>
        </w:rPr>
      </w:pPr>
      <w:r w:rsidRPr="00DF57A0">
        <w:rPr>
          <w:b/>
          <w:color w:val="000000" w:themeColor="text1"/>
          <w:sz w:val="22"/>
          <w:szCs w:val="22"/>
        </w:rPr>
        <w:t>Devolution of pay and conditions.</w:t>
      </w:r>
    </w:p>
    <w:p w14:paraId="5B2FEB7F" w14:textId="16B3B8A2" w:rsidR="00CD1432" w:rsidRPr="0098735A" w:rsidRDefault="0017471E" w:rsidP="0017471E">
      <w:pPr>
        <w:pStyle w:val="ListParagraph"/>
        <w:ind w:left="567" w:hanging="567"/>
        <w:rPr>
          <w:color w:val="000000" w:themeColor="text1"/>
          <w:sz w:val="22"/>
          <w:szCs w:val="22"/>
        </w:rPr>
      </w:pPr>
      <w:r>
        <w:rPr>
          <w:color w:val="000000" w:themeColor="text1"/>
          <w:sz w:val="22"/>
          <w:szCs w:val="22"/>
        </w:rPr>
        <w:tab/>
      </w:r>
      <w:r w:rsidR="00CD1432" w:rsidRPr="0098735A">
        <w:rPr>
          <w:color w:val="000000" w:themeColor="text1"/>
          <w:sz w:val="22"/>
          <w:szCs w:val="22"/>
        </w:rPr>
        <w:t xml:space="preserve">The SEA supports the aim to maintain the </w:t>
      </w:r>
      <w:r w:rsidR="00E46EC6" w:rsidRPr="0098735A">
        <w:rPr>
          <w:color w:val="000000" w:themeColor="text1"/>
          <w:sz w:val="22"/>
          <w:szCs w:val="22"/>
        </w:rPr>
        <w:t>terms and conditions</w:t>
      </w:r>
      <w:r w:rsidR="00CD1432" w:rsidRPr="0098735A">
        <w:rPr>
          <w:color w:val="000000" w:themeColor="text1"/>
          <w:sz w:val="22"/>
          <w:szCs w:val="22"/>
        </w:rPr>
        <w:t xml:space="preserve"> of Welsh teachers. </w:t>
      </w:r>
      <w:r w:rsidR="004158C9" w:rsidRPr="0098735A">
        <w:rPr>
          <w:color w:val="000000" w:themeColor="text1"/>
          <w:sz w:val="22"/>
          <w:szCs w:val="22"/>
        </w:rPr>
        <w:t xml:space="preserve">We would like a more definite expression of support for Teaching Assistants. </w:t>
      </w:r>
      <w:r w:rsidR="00CD1432" w:rsidRPr="0098735A">
        <w:rPr>
          <w:color w:val="000000" w:themeColor="text1"/>
          <w:sz w:val="22"/>
          <w:szCs w:val="22"/>
        </w:rPr>
        <w:t xml:space="preserve">We are worried about the increased use of Teaching Assistants, Higher Level Teaching Assistants and Cover Supervisors to substitute for qualified teachers. </w:t>
      </w:r>
      <w:r w:rsidR="00E46EC6" w:rsidRPr="0098735A">
        <w:rPr>
          <w:color w:val="000000" w:themeColor="text1"/>
          <w:sz w:val="22"/>
          <w:szCs w:val="22"/>
        </w:rPr>
        <w:t>T</w:t>
      </w:r>
      <w:r w:rsidR="00CD1432" w:rsidRPr="0098735A">
        <w:rPr>
          <w:color w:val="000000" w:themeColor="text1"/>
          <w:sz w:val="22"/>
          <w:szCs w:val="22"/>
        </w:rPr>
        <w:t>hese staff are taken from the jobs they are trained for and are often in the firing line when redundancy is threatened. We are also worried that in spite of the improvements that have been made in the Framework for Supply Teachers, schools are still being offered Supply Staff that can be paid “off framework</w:t>
      </w:r>
      <w:r w:rsidR="00E46EC6" w:rsidRPr="0098735A">
        <w:rPr>
          <w:color w:val="000000" w:themeColor="text1"/>
          <w:sz w:val="22"/>
          <w:szCs w:val="22"/>
        </w:rPr>
        <w:t>”</w:t>
      </w:r>
      <w:r w:rsidR="00CD1432" w:rsidRPr="0098735A">
        <w:rPr>
          <w:color w:val="000000" w:themeColor="text1"/>
          <w:sz w:val="22"/>
          <w:szCs w:val="22"/>
        </w:rPr>
        <w:t>. A recent Freedom of Information request found that almost £114 million</w:t>
      </w:r>
      <w:r w:rsidR="00A20CC8" w:rsidRPr="0098735A">
        <w:rPr>
          <w:color w:val="000000" w:themeColor="text1"/>
          <w:sz w:val="22"/>
          <w:szCs w:val="22"/>
        </w:rPr>
        <w:t xml:space="preserve"> of taxpayers’ money was given to Private Agencies in the three years to August 2018.</w:t>
      </w:r>
    </w:p>
    <w:p w14:paraId="3FEDC2CC" w14:textId="77777777" w:rsidR="00457A3B" w:rsidRPr="00457A3B" w:rsidRDefault="00457A3B" w:rsidP="00457A3B">
      <w:pPr>
        <w:rPr>
          <w:b/>
          <w:color w:val="000000" w:themeColor="text1"/>
          <w:sz w:val="22"/>
          <w:szCs w:val="22"/>
        </w:rPr>
      </w:pPr>
    </w:p>
    <w:p w14:paraId="64EE3F5E" w14:textId="77777777" w:rsidR="00457A3B" w:rsidRPr="00457A3B" w:rsidRDefault="00457A3B" w:rsidP="00457A3B">
      <w:pPr>
        <w:rPr>
          <w:b/>
          <w:color w:val="000000" w:themeColor="text1"/>
          <w:sz w:val="22"/>
          <w:szCs w:val="22"/>
        </w:rPr>
      </w:pPr>
    </w:p>
    <w:p w14:paraId="1C1B76A4" w14:textId="77777777" w:rsidR="00457A3B" w:rsidRPr="00457A3B" w:rsidRDefault="00457A3B" w:rsidP="00457A3B">
      <w:pPr>
        <w:rPr>
          <w:b/>
          <w:color w:val="000000" w:themeColor="text1"/>
          <w:sz w:val="22"/>
          <w:szCs w:val="22"/>
        </w:rPr>
      </w:pPr>
    </w:p>
    <w:p w14:paraId="61C8BC25" w14:textId="77777777" w:rsidR="00457A3B" w:rsidRPr="00457A3B" w:rsidRDefault="00457A3B" w:rsidP="00457A3B">
      <w:pPr>
        <w:rPr>
          <w:b/>
          <w:color w:val="000000" w:themeColor="text1"/>
          <w:sz w:val="22"/>
          <w:szCs w:val="22"/>
        </w:rPr>
      </w:pPr>
    </w:p>
    <w:p w14:paraId="555911D6" w14:textId="64A324D4" w:rsidR="007B2A34" w:rsidRPr="00DF57A0" w:rsidRDefault="007B2A34" w:rsidP="0017471E">
      <w:pPr>
        <w:pStyle w:val="ListParagraph"/>
        <w:numPr>
          <w:ilvl w:val="0"/>
          <w:numId w:val="9"/>
        </w:numPr>
        <w:ind w:left="567" w:hanging="567"/>
        <w:rPr>
          <w:b/>
          <w:color w:val="000000" w:themeColor="text1"/>
          <w:sz w:val="22"/>
          <w:szCs w:val="22"/>
        </w:rPr>
      </w:pPr>
      <w:r w:rsidRPr="00DF57A0">
        <w:rPr>
          <w:b/>
          <w:color w:val="000000" w:themeColor="text1"/>
          <w:sz w:val="22"/>
          <w:szCs w:val="22"/>
        </w:rPr>
        <w:lastRenderedPageBreak/>
        <w:t>Confidence, recruitment and retention of teachers.</w:t>
      </w:r>
    </w:p>
    <w:p w14:paraId="3C3BD257" w14:textId="3EEF7520" w:rsidR="00CD1432" w:rsidRPr="0098735A" w:rsidRDefault="0017471E" w:rsidP="0017471E">
      <w:pPr>
        <w:pStyle w:val="ListParagraph"/>
        <w:ind w:left="567" w:hanging="567"/>
        <w:rPr>
          <w:color w:val="000000" w:themeColor="text1"/>
          <w:sz w:val="22"/>
          <w:szCs w:val="22"/>
        </w:rPr>
      </w:pPr>
      <w:r>
        <w:rPr>
          <w:color w:val="000000" w:themeColor="text1"/>
          <w:sz w:val="22"/>
          <w:szCs w:val="22"/>
        </w:rPr>
        <w:tab/>
      </w:r>
      <w:r w:rsidR="00A20CC8" w:rsidRPr="0098735A">
        <w:rPr>
          <w:color w:val="000000" w:themeColor="text1"/>
          <w:sz w:val="22"/>
          <w:szCs w:val="22"/>
        </w:rPr>
        <w:t xml:space="preserve">The SEA is worried that an increasing number of young teachers are talking of leaving the profession. One aspect of this retention problem is </w:t>
      </w:r>
      <w:r w:rsidR="004113F8" w:rsidRPr="0098735A">
        <w:rPr>
          <w:color w:val="000000" w:themeColor="text1"/>
          <w:sz w:val="22"/>
          <w:szCs w:val="22"/>
        </w:rPr>
        <w:t>w</w:t>
      </w:r>
      <w:r w:rsidR="00A20CC8" w:rsidRPr="0098735A">
        <w:rPr>
          <w:color w:val="000000" w:themeColor="text1"/>
          <w:sz w:val="22"/>
          <w:szCs w:val="22"/>
        </w:rPr>
        <w:t xml:space="preserve">orkload, resulting largely from bureaucratic demands for information from too many accountability centres. These include the Literacy and </w:t>
      </w:r>
      <w:r w:rsidR="004113F8" w:rsidRPr="0098735A">
        <w:rPr>
          <w:color w:val="000000" w:themeColor="text1"/>
          <w:sz w:val="22"/>
          <w:szCs w:val="22"/>
        </w:rPr>
        <w:t>Numeracy</w:t>
      </w:r>
      <w:r w:rsidR="00A20CC8" w:rsidRPr="0098735A">
        <w:rPr>
          <w:color w:val="000000" w:themeColor="text1"/>
          <w:sz w:val="22"/>
          <w:szCs w:val="22"/>
        </w:rPr>
        <w:t xml:space="preserve"> testing, but are greatly </w:t>
      </w:r>
      <w:r w:rsidR="004113F8" w:rsidRPr="0098735A">
        <w:rPr>
          <w:color w:val="000000" w:themeColor="text1"/>
          <w:sz w:val="22"/>
          <w:szCs w:val="22"/>
        </w:rPr>
        <w:t>worsened</w:t>
      </w:r>
      <w:r w:rsidR="00A20CC8" w:rsidRPr="0098735A">
        <w:rPr>
          <w:color w:val="000000" w:themeColor="text1"/>
          <w:sz w:val="22"/>
          <w:szCs w:val="22"/>
        </w:rPr>
        <w:t xml:space="preserve"> by the number of centres that can demand information from teachers (worried senior managers and </w:t>
      </w:r>
      <w:r w:rsidR="004113F8" w:rsidRPr="0098735A">
        <w:rPr>
          <w:color w:val="000000" w:themeColor="text1"/>
          <w:sz w:val="22"/>
          <w:szCs w:val="22"/>
        </w:rPr>
        <w:t>Headteachers</w:t>
      </w:r>
      <w:r w:rsidR="00A20CC8" w:rsidRPr="0098735A">
        <w:rPr>
          <w:color w:val="000000" w:themeColor="text1"/>
          <w:sz w:val="22"/>
          <w:szCs w:val="22"/>
        </w:rPr>
        <w:t xml:space="preserve">, Consortia and Challenge Advisors, Local Authority </w:t>
      </w:r>
      <w:r w:rsidR="004113F8" w:rsidRPr="0098735A">
        <w:rPr>
          <w:color w:val="000000" w:themeColor="text1"/>
          <w:sz w:val="22"/>
          <w:szCs w:val="22"/>
        </w:rPr>
        <w:t>bureaucrats</w:t>
      </w:r>
      <w:r w:rsidR="00A20CC8" w:rsidRPr="0098735A">
        <w:rPr>
          <w:color w:val="000000" w:themeColor="text1"/>
          <w:sz w:val="22"/>
          <w:szCs w:val="22"/>
        </w:rPr>
        <w:t>, who no longer can provide support, Estyn</w:t>
      </w:r>
      <w:r w:rsidR="007656D3" w:rsidRPr="0098735A">
        <w:rPr>
          <w:color w:val="000000" w:themeColor="text1"/>
          <w:sz w:val="22"/>
          <w:szCs w:val="22"/>
        </w:rPr>
        <w:t xml:space="preserve"> and the Welsh Government itself).</w:t>
      </w:r>
      <w:r w:rsidR="004113F8" w:rsidRPr="0098735A">
        <w:rPr>
          <w:color w:val="000000" w:themeColor="text1"/>
          <w:sz w:val="22"/>
          <w:szCs w:val="22"/>
        </w:rPr>
        <w:t xml:space="preserve"> </w:t>
      </w:r>
    </w:p>
    <w:p w14:paraId="550E2FA8" w14:textId="77777777" w:rsidR="007B2A34" w:rsidRPr="005E6621" w:rsidRDefault="007B2A34" w:rsidP="007B2A34">
      <w:pPr>
        <w:rPr>
          <w:sz w:val="22"/>
          <w:szCs w:val="22"/>
        </w:rPr>
      </w:pPr>
    </w:p>
    <w:p w14:paraId="3BC2BA4E" w14:textId="13DAFB89" w:rsidR="005E6621" w:rsidRPr="00AE52D3" w:rsidRDefault="007B2A34" w:rsidP="007B2A34">
      <w:pPr>
        <w:ind w:left="426" w:hanging="426"/>
        <w:rPr>
          <w:b/>
        </w:rPr>
      </w:pPr>
      <w:r w:rsidRPr="00AE52D3">
        <w:rPr>
          <w:b/>
        </w:rPr>
        <w:t>G]</w:t>
      </w:r>
      <w:r w:rsidRPr="00AE52D3">
        <w:rPr>
          <w:b/>
        </w:rPr>
        <w:tab/>
        <w:t>World class school and college buildings</w:t>
      </w:r>
    </w:p>
    <w:p w14:paraId="50062AA9" w14:textId="5FC414B7" w:rsidR="004113F8" w:rsidRPr="00457A3B" w:rsidRDefault="007B2A34" w:rsidP="0017471E">
      <w:pPr>
        <w:pStyle w:val="ListParagraph"/>
        <w:numPr>
          <w:ilvl w:val="0"/>
          <w:numId w:val="10"/>
        </w:numPr>
        <w:ind w:left="567" w:hanging="567"/>
        <w:rPr>
          <w:b/>
          <w:color w:val="000000" w:themeColor="text1"/>
          <w:sz w:val="22"/>
          <w:szCs w:val="22"/>
        </w:rPr>
      </w:pPr>
      <w:r w:rsidRPr="00DF57A0">
        <w:rPr>
          <w:b/>
          <w:color w:val="000000" w:themeColor="text1"/>
          <w:sz w:val="22"/>
          <w:szCs w:val="22"/>
        </w:rPr>
        <w:t>Investment in buildings.</w:t>
      </w:r>
      <w:r w:rsidR="00457A3B">
        <w:rPr>
          <w:b/>
          <w:color w:val="000000" w:themeColor="text1"/>
          <w:sz w:val="22"/>
          <w:szCs w:val="22"/>
        </w:rPr>
        <w:t xml:space="preserve"> </w:t>
      </w:r>
      <w:r w:rsidR="004A29AB" w:rsidRPr="00457A3B">
        <w:rPr>
          <w:color w:val="000000" w:themeColor="text1"/>
          <w:sz w:val="22"/>
          <w:szCs w:val="22"/>
        </w:rPr>
        <w:t>Ther</w:t>
      </w:r>
      <w:r w:rsidR="0098735A" w:rsidRPr="00457A3B">
        <w:rPr>
          <w:color w:val="000000" w:themeColor="text1"/>
          <w:sz w:val="22"/>
          <w:szCs w:val="22"/>
        </w:rPr>
        <w:t>e</w:t>
      </w:r>
      <w:r w:rsidR="004A29AB" w:rsidRPr="00457A3B">
        <w:rPr>
          <w:color w:val="000000" w:themeColor="text1"/>
          <w:sz w:val="22"/>
          <w:szCs w:val="22"/>
        </w:rPr>
        <w:t xml:space="preserve"> have been some improvements but more information is needed on the accumulated need for capital investment.</w:t>
      </w:r>
      <w:r w:rsidR="0017471E" w:rsidRPr="00457A3B">
        <w:rPr>
          <w:color w:val="000000" w:themeColor="text1"/>
          <w:sz w:val="22"/>
          <w:szCs w:val="22"/>
        </w:rPr>
        <w:tab/>
      </w:r>
    </w:p>
    <w:p w14:paraId="425672E4" w14:textId="7576FFD4" w:rsidR="004113F8" w:rsidRPr="00457A3B" w:rsidRDefault="007B2A34" w:rsidP="0017471E">
      <w:pPr>
        <w:pStyle w:val="ListParagraph"/>
        <w:numPr>
          <w:ilvl w:val="0"/>
          <w:numId w:val="10"/>
        </w:numPr>
        <w:ind w:left="567" w:hanging="567"/>
        <w:rPr>
          <w:b/>
          <w:color w:val="000000" w:themeColor="text1"/>
          <w:sz w:val="22"/>
          <w:szCs w:val="22"/>
        </w:rPr>
      </w:pPr>
      <w:r w:rsidRPr="00DF57A0">
        <w:rPr>
          <w:b/>
          <w:color w:val="000000" w:themeColor="text1"/>
          <w:sz w:val="22"/>
          <w:szCs w:val="22"/>
        </w:rPr>
        <w:t xml:space="preserve">Reduction of infant class </w:t>
      </w:r>
      <w:proofErr w:type="spellStart"/>
      <w:r w:rsidRPr="00DF57A0">
        <w:rPr>
          <w:b/>
          <w:color w:val="000000" w:themeColor="text1"/>
          <w:sz w:val="22"/>
          <w:szCs w:val="22"/>
        </w:rPr>
        <w:t>sizes.</w:t>
      </w:r>
      <w:r w:rsidR="004113F8" w:rsidRPr="00457A3B">
        <w:rPr>
          <w:color w:val="000000" w:themeColor="text1"/>
          <w:sz w:val="22"/>
          <w:szCs w:val="22"/>
        </w:rPr>
        <w:t>The</w:t>
      </w:r>
      <w:proofErr w:type="spellEnd"/>
      <w:r w:rsidR="004113F8" w:rsidRPr="00457A3B">
        <w:rPr>
          <w:color w:val="000000" w:themeColor="text1"/>
          <w:sz w:val="22"/>
          <w:szCs w:val="22"/>
        </w:rPr>
        <w:t xml:space="preserve"> SEA welcomes attempts to limit the size of Infant classes.</w:t>
      </w:r>
    </w:p>
    <w:p w14:paraId="0B5D70FF" w14:textId="77777777" w:rsidR="007B2A34" w:rsidRPr="005E6621" w:rsidRDefault="007B2A34" w:rsidP="007B2A34">
      <w:pPr>
        <w:rPr>
          <w:sz w:val="22"/>
          <w:szCs w:val="22"/>
        </w:rPr>
      </w:pPr>
    </w:p>
    <w:p w14:paraId="0CA71C69" w14:textId="52F06F90" w:rsidR="005E6621" w:rsidRPr="00AE52D3" w:rsidRDefault="007B2A34" w:rsidP="007B2A34">
      <w:pPr>
        <w:ind w:left="426" w:hanging="426"/>
        <w:rPr>
          <w:b/>
        </w:rPr>
      </w:pPr>
      <w:r w:rsidRPr="00AE52D3">
        <w:rPr>
          <w:b/>
        </w:rPr>
        <w:t>H]</w:t>
      </w:r>
      <w:r w:rsidRPr="00AE52D3">
        <w:rPr>
          <w:b/>
        </w:rPr>
        <w:tab/>
        <w:t>Community schools</w:t>
      </w:r>
    </w:p>
    <w:p w14:paraId="048CAE60" w14:textId="7000CAED" w:rsidR="007B2A34" w:rsidRPr="00DF57A0" w:rsidRDefault="009E6132" w:rsidP="0017471E">
      <w:pPr>
        <w:pStyle w:val="ListParagraph"/>
        <w:numPr>
          <w:ilvl w:val="0"/>
          <w:numId w:val="11"/>
        </w:numPr>
        <w:ind w:left="567" w:hanging="567"/>
        <w:rPr>
          <w:b/>
          <w:color w:val="000000" w:themeColor="text1"/>
          <w:sz w:val="22"/>
          <w:szCs w:val="22"/>
        </w:rPr>
      </w:pPr>
      <w:r w:rsidRPr="00DF57A0">
        <w:rPr>
          <w:b/>
          <w:color w:val="000000" w:themeColor="text1"/>
          <w:sz w:val="22"/>
          <w:szCs w:val="22"/>
        </w:rPr>
        <w:t>Pupil Development Grant.</w:t>
      </w:r>
    </w:p>
    <w:p w14:paraId="6975C9D3" w14:textId="3A3E88F0" w:rsidR="004113F8" w:rsidRPr="0098735A" w:rsidRDefault="0017471E" w:rsidP="0017471E">
      <w:pPr>
        <w:pStyle w:val="ListParagraph"/>
        <w:ind w:left="567" w:hanging="567"/>
        <w:rPr>
          <w:color w:val="000000" w:themeColor="text1"/>
          <w:sz w:val="22"/>
          <w:szCs w:val="22"/>
        </w:rPr>
      </w:pPr>
      <w:r>
        <w:rPr>
          <w:color w:val="000000" w:themeColor="text1"/>
          <w:sz w:val="22"/>
          <w:szCs w:val="22"/>
        </w:rPr>
        <w:tab/>
      </w:r>
      <w:r w:rsidR="004A29AB" w:rsidRPr="0098735A">
        <w:rPr>
          <w:color w:val="000000" w:themeColor="text1"/>
          <w:sz w:val="22"/>
          <w:szCs w:val="22"/>
        </w:rPr>
        <w:t>We support moves to increase funding for deprived pupils</w:t>
      </w:r>
      <w:r w:rsidR="00AA5E0F" w:rsidRPr="0098735A">
        <w:rPr>
          <w:color w:val="000000" w:themeColor="text1"/>
          <w:sz w:val="22"/>
          <w:szCs w:val="22"/>
        </w:rPr>
        <w:t>. It is necessary to take further steps to reduce the inequalities inherent in capitalist society – particularly given the social deprivation statistics for Wales.</w:t>
      </w:r>
    </w:p>
    <w:p w14:paraId="240A38F2" w14:textId="286138F4" w:rsidR="009E6132" w:rsidRPr="00DF57A0" w:rsidRDefault="009E6132" w:rsidP="0017471E">
      <w:pPr>
        <w:pStyle w:val="ListParagraph"/>
        <w:numPr>
          <w:ilvl w:val="0"/>
          <w:numId w:val="11"/>
        </w:numPr>
        <w:ind w:left="567" w:hanging="567"/>
        <w:rPr>
          <w:b/>
          <w:color w:val="000000" w:themeColor="text1"/>
          <w:sz w:val="22"/>
          <w:szCs w:val="22"/>
        </w:rPr>
      </w:pPr>
      <w:r w:rsidRPr="00DF57A0">
        <w:rPr>
          <w:b/>
          <w:color w:val="000000" w:themeColor="text1"/>
          <w:sz w:val="22"/>
          <w:szCs w:val="22"/>
        </w:rPr>
        <w:t>Education Maintenance Allowance.</w:t>
      </w:r>
    </w:p>
    <w:p w14:paraId="34D2A290" w14:textId="35D48936" w:rsidR="004113F8" w:rsidRPr="0098735A" w:rsidRDefault="0017471E" w:rsidP="0017471E">
      <w:pPr>
        <w:pStyle w:val="ListParagraph"/>
        <w:ind w:left="567" w:hanging="567"/>
        <w:rPr>
          <w:color w:val="000000" w:themeColor="text1"/>
          <w:sz w:val="22"/>
          <w:szCs w:val="22"/>
        </w:rPr>
      </w:pPr>
      <w:r>
        <w:rPr>
          <w:color w:val="000000" w:themeColor="text1"/>
          <w:sz w:val="22"/>
          <w:szCs w:val="22"/>
        </w:rPr>
        <w:tab/>
      </w:r>
      <w:r w:rsidR="004113F8" w:rsidRPr="0098735A">
        <w:rPr>
          <w:color w:val="000000" w:themeColor="text1"/>
          <w:sz w:val="22"/>
          <w:szCs w:val="22"/>
        </w:rPr>
        <w:t>The SEA welcomes the retention of the Education Maintenance Grant</w:t>
      </w:r>
      <w:r w:rsidR="008A60DC">
        <w:rPr>
          <w:color w:val="000000" w:themeColor="text1"/>
          <w:sz w:val="22"/>
          <w:szCs w:val="22"/>
        </w:rPr>
        <w:t xml:space="preserve"> as a contribution to ending the effect of deprivation on post 16 education.</w:t>
      </w:r>
    </w:p>
    <w:p w14:paraId="37376BDD" w14:textId="1E831276" w:rsidR="009E6132" w:rsidRPr="00DF57A0" w:rsidRDefault="009E6132" w:rsidP="0017471E">
      <w:pPr>
        <w:pStyle w:val="ListParagraph"/>
        <w:numPr>
          <w:ilvl w:val="0"/>
          <w:numId w:val="11"/>
        </w:numPr>
        <w:ind w:left="567" w:hanging="567"/>
        <w:rPr>
          <w:b/>
          <w:color w:val="000000" w:themeColor="text1"/>
          <w:sz w:val="22"/>
          <w:szCs w:val="22"/>
        </w:rPr>
      </w:pPr>
      <w:r w:rsidRPr="00DF57A0">
        <w:rPr>
          <w:b/>
          <w:color w:val="000000" w:themeColor="text1"/>
          <w:sz w:val="22"/>
          <w:szCs w:val="22"/>
        </w:rPr>
        <w:t>Cost of school uniforms.</w:t>
      </w:r>
    </w:p>
    <w:p w14:paraId="25680CF0" w14:textId="42D8A3C3" w:rsidR="004113F8" w:rsidRPr="0098735A" w:rsidRDefault="0017471E" w:rsidP="0017471E">
      <w:pPr>
        <w:pStyle w:val="ListParagraph"/>
        <w:ind w:left="567" w:hanging="567"/>
        <w:rPr>
          <w:color w:val="000000" w:themeColor="text1"/>
          <w:sz w:val="22"/>
          <w:szCs w:val="22"/>
        </w:rPr>
      </w:pPr>
      <w:r>
        <w:rPr>
          <w:color w:val="000000" w:themeColor="text1"/>
          <w:sz w:val="22"/>
          <w:szCs w:val="22"/>
        </w:rPr>
        <w:tab/>
      </w:r>
      <w:r w:rsidR="004A29AB" w:rsidRPr="0098735A">
        <w:rPr>
          <w:color w:val="000000" w:themeColor="text1"/>
          <w:sz w:val="22"/>
          <w:szCs w:val="22"/>
        </w:rPr>
        <w:t>Families should be supported in provision of key clothing, such as good shoes, warm winter clothing and PE kit. We do not support expensive status-driven school uniform</w:t>
      </w:r>
      <w:r w:rsidR="00457A3B">
        <w:rPr>
          <w:color w:val="000000" w:themeColor="text1"/>
          <w:sz w:val="22"/>
          <w:szCs w:val="22"/>
        </w:rPr>
        <w:t xml:space="preserve">s </w:t>
      </w:r>
      <w:r w:rsidR="004A29AB" w:rsidRPr="0098735A">
        <w:rPr>
          <w:color w:val="000000" w:themeColor="text1"/>
          <w:sz w:val="22"/>
          <w:szCs w:val="22"/>
        </w:rPr>
        <w:t>– which sometimes act to preserve social division and deprivation.</w:t>
      </w:r>
    </w:p>
    <w:p w14:paraId="6431CFDB" w14:textId="35F8AC83" w:rsidR="009E6132" w:rsidRPr="00DF57A0" w:rsidRDefault="004A29AB" w:rsidP="0017471E">
      <w:pPr>
        <w:pStyle w:val="ListParagraph"/>
        <w:numPr>
          <w:ilvl w:val="0"/>
          <w:numId w:val="11"/>
        </w:numPr>
        <w:ind w:left="567" w:hanging="567"/>
        <w:rPr>
          <w:b/>
          <w:color w:val="000000" w:themeColor="text1"/>
          <w:sz w:val="22"/>
          <w:szCs w:val="22"/>
        </w:rPr>
      </w:pPr>
      <w:r w:rsidRPr="00DF57A0">
        <w:rPr>
          <w:b/>
          <w:color w:val="000000" w:themeColor="text1"/>
          <w:sz w:val="22"/>
          <w:szCs w:val="22"/>
        </w:rPr>
        <w:t>The h</w:t>
      </w:r>
      <w:r w:rsidR="009E6132" w:rsidRPr="00DF57A0">
        <w:rPr>
          <w:b/>
          <w:color w:val="000000" w:themeColor="text1"/>
          <w:sz w:val="22"/>
          <w:szCs w:val="22"/>
        </w:rPr>
        <w:t>oliday hunger scheme.</w:t>
      </w:r>
    </w:p>
    <w:p w14:paraId="21C9CA48" w14:textId="1CBF2912" w:rsidR="00D9426F" w:rsidRPr="0098735A" w:rsidRDefault="0017471E" w:rsidP="0017471E">
      <w:pPr>
        <w:pStyle w:val="ListParagraph"/>
        <w:ind w:left="567" w:hanging="567"/>
        <w:rPr>
          <w:color w:val="000000" w:themeColor="text1"/>
          <w:sz w:val="22"/>
          <w:szCs w:val="22"/>
        </w:rPr>
      </w:pPr>
      <w:r>
        <w:rPr>
          <w:color w:val="000000" w:themeColor="text1"/>
          <w:sz w:val="22"/>
          <w:szCs w:val="22"/>
        </w:rPr>
        <w:tab/>
      </w:r>
      <w:r w:rsidR="004113F8" w:rsidRPr="0098735A">
        <w:rPr>
          <w:color w:val="000000" w:themeColor="text1"/>
          <w:sz w:val="22"/>
          <w:szCs w:val="22"/>
        </w:rPr>
        <w:t>The SEA welcomes the attempts by the Welsh Government to provide free lunches for pupils in the school holidays.</w:t>
      </w:r>
      <w:r w:rsidR="004A29AB" w:rsidRPr="0098735A">
        <w:rPr>
          <w:color w:val="000000" w:themeColor="text1"/>
          <w:sz w:val="22"/>
          <w:szCs w:val="22"/>
        </w:rPr>
        <w:t xml:space="preserve"> </w:t>
      </w:r>
      <w:r w:rsidR="008A60DC">
        <w:rPr>
          <w:color w:val="000000" w:themeColor="text1"/>
          <w:sz w:val="22"/>
          <w:szCs w:val="22"/>
        </w:rPr>
        <w:t xml:space="preserve">We congratulate the Welsh Government for maintaining free meals through the Covid-19 lockdown. </w:t>
      </w:r>
      <w:r w:rsidR="004A29AB" w:rsidRPr="0098735A">
        <w:rPr>
          <w:color w:val="000000" w:themeColor="text1"/>
          <w:sz w:val="22"/>
          <w:szCs w:val="22"/>
        </w:rPr>
        <w:t>We think that this should be extended to term time breakfasts and lunches for all pupils.</w:t>
      </w:r>
    </w:p>
    <w:p w14:paraId="65FFE4D7" w14:textId="4CCA9A42" w:rsidR="009E6132" w:rsidRPr="00DF57A0" w:rsidRDefault="009E6132" w:rsidP="0017471E">
      <w:pPr>
        <w:pStyle w:val="ListParagraph"/>
        <w:numPr>
          <w:ilvl w:val="0"/>
          <w:numId w:val="11"/>
        </w:numPr>
        <w:ind w:left="567" w:hanging="567"/>
        <w:rPr>
          <w:b/>
          <w:color w:val="000000" w:themeColor="text1"/>
          <w:sz w:val="22"/>
          <w:szCs w:val="22"/>
        </w:rPr>
      </w:pPr>
      <w:r w:rsidRPr="00DF57A0">
        <w:rPr>
          <w:b/>
          <w:color w:val="000000" w:themeColor="text1"/>
          <w:sz w:val="22"/>
          <w:szCs w:val="22"/>
        </w:rPr>
        <w:t>Youth Services.</w:t>
      </w:r>
    </w:p>
    <w:p w14:paraId="138CB6DD" w14:textId="7247DA78" w:rsidR="004113F8" w:rsidRPr="0098735A" w:rsidRDefault="0017471E" w:rsidP="0017471E">
      <w:pPr>
        <w:pStyle w:val="ListParagraph"/>
        <w:ind w:left="567" w:hanging="567"/>
        <w:rPr>
          <w:color w:val="000000" w:themeColor="text1"/>
          <w:sz w:val="22"/>
          <w:szCs w:val="22"/>
        </w:rPr>
      </w:pPr>
      <w:r>
        <w:rPr>
          <w:color w:val="000000" w:themeColor="text1"/>
          <w:sz w:val="22"/>
          <w:szCs w:val="22"/>
        </w:rPr>
        <w:tab/>
      </w:r>
      <w:r w:rsidR="004113F8" w:rsidRPr="0098735A">
        <w:rPr>
          <w:color w:val="000000" w:themeColor="text1"/>
          <w:sz w:val="22"/>
          <w:szCs w:val="22"/>
        </w:rPr>
        <w:t>The SEA would welcome retention of Youth Services, but we have been told of many examples where they have been cut. Context is needed here on the demand and funds available to meet it.</w:t>
      </w:r>
    </w:p>
    <w:p w14:paraId="24FAF59B" w14:textId="6C5AE1E0" w:rsidR="009E6132" w:rsidRPr="00DF57A0" w:rsidRDefault="009E6132" w:rsidP="0017471E">
      <w:pPr>
        <w:pStyle w:val="ListParagraph"/>
        <w:numPr>
          <w:ilvl w:val="0"/>
          <w:numId w:val="11"/>
        </w:numPr>
        <w:ind w:left="567" w:hanging="567"/>
        <w:rPr>
          <w:b/>
          <w:color w:val="000000" w:themeColor="text1"/>
          <w:sz w:val="22"/>
          <w:szCs w:val="22"/>
        </w:rPr>
      </w:pPr>
      <w:r w:rsidRPr="00DF57A0">
        <w:rPr>
          <w:b/>
          <w:color w:val="000000" w:themeColor="text1"/>
          <w:sz w:val="22"/>
          <w:szCs w:val="22"/>
        </w:rPr>
        <w:t>Looked after children.</w:t>
      </w:r>
    </w:p>
    <w:p w14:paraId="7598412A" w14:textId="49951020" w:rsidR="004113F8" w:rsidRPr="0098735A" w:rsidRDefault="0017471E" w:rsidP="0017471E">
      <w:pPr>
        <w:pStyle w:val="ListParagraph"/>
        <w:ind w:left="567" w:hanging="567"/>
        <w:rPr>
          <w:color w:val="000000" w:themeColor="text1"/>
          <w:sz w:val="22"/>
          <w:szCs w:val="22"/>
        </w:rPr>
      </w:pPr>
      <w:r>
        <w:rPr>
          <w:color w:val="000000" w:themeColor="text1"/>
          <w:sz w:val="22"/>
          <w:szCs w:val="22"/>
        </w:rPr>
        <w:tab/>
      </w:r>
      <w:r w:rsidR="002D319C" w:rsidRPr="0098735A">
        <w:rPr>
          <w:color w:val="000000" w:themeColor="text1"/>
          <w:sz w:val="22"/>
          <w:szCs w:val="22"/>
        </w:rPr>
        <w:t>The SEA welcomes all attempts to provide funding and to act as corporate parents to looked after children. We know of good examples given by some Local Authorities but would like context to be given about the overall picture.</w:t>
      </w:r>
    </w:p>
    <w:p w14:paraId="4AAD0B8E" w14:textId="77777777" w:rsidR="009E6132" w:rsidRPr="005E6621" w:rsidRDefault="009E6132" w:rsidP="009E6132">
      <w:pPr>
        <w:rPr>
          <w:sz w:val="22"/>
          <w:szCs w:val="22"/>
        </w:rPr>
      </w:pPr>
    </w:p>
    <w:p w14:paraId="619CFFDE" w14:textId="6CF4DB60" w:rsidR="005E6621" w:rsidRPr="00AE52D3" w:rsidRDefault="009E6132" w:rsidP="009E6132">
      <w:pPr>
        <w:ind w:left="426" w:hanging="426"/>
        <w:rPr>
          <w:b/>
        </w:rPr>
      </w:pPr>
      <w:r w:rsidRPr="00AE52D3">
        <w:rPr>
          <w:b/>
        </w:rPr>
        <w:t>I]</w:t>
      </w:r>
      <w:r w:rsidRPr="00AE52D3">
        <w:rPr>
          <w:b/>
        </w:rPr>
        <w:tab/>
        <w:t>Higher Education</w:t>
      </w:r>
    </w:p>
    <w:p w14:paraId="227C43B5" w14:textId="6546C675" w:rsidR="009E6132" w:rsidRPr="00DF57A0" w:rsidRDefault="009E6132" w:rsidP="00857E57">
      <w:pPr>
        <w:pStyle w:val="ListParagraph"/>
        <w:numPr>
          <w:ilvl w:val="0"/>
          <w:numId w:val="12"/>
        </w:numPr>
        <w:ind w:left="567" w:hanging="567"/>
        <w:rPr>
          <w:b/>
          <w:color w:val="000000" w:themeColor="text1"/>
          <w:sz w:val="22"/>
          <w:szCs w:val="22"/>
        </w:rPr>
      </w:pPr>
      <w:r w:rsidRPr="00DF57A0">
        <w:rPr>
          <w:b/>
          <w:color w:val="000000" w:themeColor="text1"/>
          <w:sz w:val="22"/>
          <w:szCs w:val="22"/>
        </w:rPr>
        <w:t>Student finance.</w:t>
      </w:r>
    </w:p>
    <w:p w14:paraId="4C4F2E4A" w14:textId="75108549" w:rsidR="0098735A" w:rsidRDefault="00857E57" w:rsidP="00DF57A0">
      <w:pPr>
        <w:pStyle w:val="ListParagraph"/>
        <w:ind w:left="567" w:hanging="567"/>
        <w:rPr>
          <w:color w:val="000000" w:themeColor="text1"/>
          <w:sz w:val="22"/>
          <w:szCs w:val="22"/>
        </w:rPr>
      </w:pPr>
      <w:r>
        <w:rPr>
          <w:color w:val="000000" w:themeColor="text1"/>
          <w:sz w:val="22"/>
          <w:szCs w:val="22"/>
        </w:rPr>
        <w:tab/>
      </w:r>
      <w:r w:rsidR="00AA5E0F" w:rsidRPr="0098735A">
        <w:rPr>
          <w:color w:val="000000" w:themeColor="text1"/>
          <w:sz w:val="22"/>
          <w:szCs w:val="22"/>
        </w:rPr>
        <w:t>The SEA believes that people should be free to study at University or College  free of Tuition Fees. They should also  be supported by</w:t>
      </w:r>
      <w:r w:rsidR="00457A3B">
        <w:rPr>
          <w:color w:val="000000" w:themeColor="text1"/>
          <w:sz w:val="22"/>
          <w:szCs w:val="22"/>
        </w:rPr>
        <w:t xml:space="preserve"> </w:t>
      </w:r>
      <w:r w:rsidR="00AA5E0F" w:rsidRPr="0098735A">
        <w:rPr>
          <w:color w:val="000000" w:themeColor="text1"/>
          <w:sz w:val="22"/>
          <w:szCs w:val="22"/>
        </w:rPr>
        <w:t xml:space="preserve">a system of grants to fund their living costs while studying. The right to education should be open throughout life, both for vocational and for general cultural reasons. </w:t>
      </w:r>
      <w:r w:rsidR="0029525B" w:rsidRPr="0098735A">
        <w:rPr>
          <w:color w:val="000000" w:themeColor="text1"/>
          <w:sz w:val="22"/>
          <w:szCs w:val="22"/>
        </w:rPr>
        <w:t>We need a statement of opposition to the creeping casualisation affecti</w:t>
      </w:r>
      <w:r w:rsidR="00AA5E0F" w:rsidRPr="0098735A">
        <w:rPr>
          <w:color w:val="000000" w:themeColor="text1"/>
          <w:sz w:val="22"/>
          <w:szCs w:val="22"/>
        </w:rPr>
        <w:t>n</w:t>
      </w:r>
      <w:r w:rsidR="0029525B" w:rsidRPr="0098735A">
        <w:rPr>
          <w:color w:val="000000" w:themeColor="text1"/>
          <w:sz w:val="22"/>
          <w:szCs w:val="22"/>
        </w:rPr>
        <w:t xml:space="preserve">g higher education staff (a process also seen in Further Education). </w:t>
      </w:r>
      <w:r w:rsidR="00421800" w:rsidRPr="0098735A">
        <w:rPr>
          <w:color w:val="000000" w:themeColor="text1"/>
          <w:sz w:val="22"/>
          <w:szCs w:val="22"/>
        </w:rPr>
        <w:t xml:space="preserve">There are too many short-term </w:t>
      </w:r>
      <w:r w:rsidR="008E440E" w:rsidRPr="0098735A">
        <w:rPr>
          <w:color w:val="000000" w:themeColor="text1"/>
          <w:sz w:val="22"/>
          <w:szCs w:val="22"/>
        </w:rPr>
        <w:t>contracts</w:t>
      </w:r>
      <w:r w:rsidR="00421800" w:rsidRPr="0098735A">
        <w:rPr>
          <w:color w:val="000000" w:themeColor="text1"/>
          <w:sz w:val="22"/>
          <w:szCs w:val="22"/>
        </w:rPr>
        <w:t xml:space="preserve"> and </w:t>
      </w:r>
      <w:r w:rsidR="008E440E" w:rsidRPr="0098735A">
        <w:rPr>
          <w:color w:val="000000" w:themeColor="text1"/>
          <w:sz w:val="22"/>
          <w:szCs w:val="22"/>
        </w:rPr>
        <w:t xml:space="preserve">academic </w:t>
      </w:r>
      <w:r w:rsidR="00421800" w:rsidRPr="0098735A">
        <w:rPr>
          <w:color w:val="000000" w:themeColor="text1"/>
          <w:sz w:val="22"/>
          <w:szCs w:val="22"/>
        </w:rPr>
        <w:t>jobs based on gig economy</w:t>
      </w:r>
      <w:r w:rsidR="008E440E" w:rsidRPr="0098735A">
        <w:rPr>
          <w:color w:val="000000" w:themeColor="text1"/>
          <w:sz w:val="22"/>
          <w:szCs w:val="22"/>
        </w:rPr>
        <w:t xml:space="preserve"> philosophy</w:t>
      </w:r>
      <w:r w:rsidR="00421800" w:rsidRPr="0098735A">
        <w:rPr>
          <w:color w:val="000000" w:themeColor="text1"/>
          <w:sz w:val="22"/>
          <w:szCs w:val="22"/>
        </w:rPr>
        <w:t xml:space="preserve">. </w:t>
      </w:r>
      <w:r w:rsidR="0029525B" w:rsidRPr="0098735A">
        <w:rPr>
          <w:color w:val="000000" w:themeColor="text1"/>
          <w:sz w:val="22"/>
          <w:szCs w:val="22"/>
        </w:rPr>
        <w:t>Adult education of a spe</w:t>
      </w:r>
      <w:r w:rsidR="00421800" w:rsidRPr="0098735A">
        <w:rPr>
          <w:color w:val="000000" w:themeColor="text1"/>
          <w:sz w:val="22"/>
          <w:szCs w:val="22"/>
        </w:rPr>
        <w:t xml:space="preserve">cifically vocational nature is pushing out </w:t>
      </w:r>
      <w:r w:rsidR="0029525B" w:rsidRPr="0098735A">
        <w:rPr>
          <w:color w:val="000000" w:themeColor="text1"/>
          <w:sz w:val="22"/>
          <w:szCs w:val="22"/>
        </w:rPr>
        <w:t xml:space="preserve">generalised cultural </w:t>
      </w:r>
      <w:r w:rsidR="00421800" w:rsidRPr="0098735A">
        <w:rPr>
          <w:color w:val="000000" w:themeColor="text1"/>
          <w:sz w:val="22"/>
          <w:szCs w:val="22"/>
        </w:rPr>
        <w:t>and self-development</w:t>
      </w:r>
      <w:r w:rsidR="008E440E" w:rsidRPr="0098735A">
        <w:rPr>
          <w:color w:val="000000" w:themeColor="text1"/>
          <w:sz w:val="22"/>
          <w:szCs w:val="22"/>
        </w:rPr>
        <w:t xml:space="preserve"> courses</w:t>
      </w:r>
      <w:r w:rsidR="00421800" w:rsidRPr="0098735A">
        <w:rPr>
          <w:color w:val="000000" w:themeColor="text1"/>
          <w:sz w:val="22"/>
          <w:szCs w:val="22"/>
        </w:rPr>
        <w:t xml:space="preserve">. </w:t>
      </w:r>
      <w:r w:rsidR="008E440E" w:rsidRPr="0098735A">
        <w:rPr>
          <w:color w:val="000000" w:themeColor="text1"/>
          <w:sz w:val="22"/>
          <w:szCs w:val="22"/>
        </w:rPr>
        <w:t>Supply teachers and Teaching Assistants are also facing casualisation and privatisation. This process must stop.</w:t>
      </w:r>
    </w:p>
    <w:p w14:paraId="143E3B77" w14:textId="44C1726A" w:rsidR="009E6132" w:rsidRPr="00DF57A0" w:rsidRDefault="009E6132" w:rsidP="00857E57">
      <w:pPr>
        <w:pStyle w:val="ListParagraph"/>
        <w:numPr>
          <w:ilvl w:val="0"/>
          <w:numId w:val="12"/>
        </w:numPr>
        <w:ind w:left="567" w:hanging="567"/>
        <w:rPr>
          <w:b/>
          <w:color w:val="000000" w:themeColor="text1"/>
          <w:sz w:val="22"/>
          <w:szCs w:val="22"/>
        </w:rPr>
      </w:pPr>
      <w:r w:rsidRPr="00DF57A0">
        <w:rPr>
          <w:b/>
          <w:color w:val="000000" w:themeColor="text1"/>
          <w:sz w:val="22"/>
          <w:szCs w:val="22"/>
        </w:rPr>
        <w:t>The Seren programme.</w:t>
      </w:r>
    </w:p>
    <w:p w14:paraId="2119AB2D" w14:textId="15D63E6E" w:rsidR="00AA5E0F" w:rsidRDefault="00857E57" w:rsidP="00857E57">
      <w:pPr>
        <w:pStyle w:val="ListParagraph"/>
        <w:ind w:left="567" w:hanging="567"/>
        <w:rPr>
          <w:sz w:val="22"/>
          <w:szCs w:val="22"/>
        </w:rPr>
      </w:pPr>
      <w:r>
        <w:rPr>
          <w:color w:val="000000" w:themeColor="text1"/>
          <w:sz w:val="22"/>
          <w:szCs w:val="22"/>
        </w:rPr>
        <w:tab/>
      </w:r>
      <w:r w:rsidR="00177A7A" w:rsidRPr="0098735A">
        <w:rPr>
          <w:color w:val="000000" w:themeColor="text1"/>
          <w:sz w:val="22"/>
          <w:szCs w:val="22"/>
        </w:rPr>
        <w:t>While the SEA supports initiatives aimed at giving all children access to Higher Education, we would ask that it not be confined to Oxbridge and Russell Group Universities</w:t>
      </w:r>
      <w:r w:rsidR="0098735A">
        <w:rPr>
          <w:color w:val="000000" w:themeColor="text1"/>
          <w:sz w:val="22"/>
          <w:szCs w:val="22"/>
        </w:rPr>
        <w:t xml:space="preserve"> </w:t>
      </w:r>
      <w:r w:rsidR="0098735A" w:rsidRPr="0098735A">
        <w:rPr>
          <w:sz w:val="22"/>
          <w:szCs w:val="22"/>
        </w:rPr>
        <w:t>(or to the Higher Education Sector</w:t>
      </w:r>
      <w:r w:rsidR="0098735A">
        <w:rPr>
          <w:sz w:val="22"/>
          <w:szCs w:val="22"/>
        </w:rPr>
        <w:t>).</w:t>
      </w:r>
    </w:p>
    <w:p w14:paraId="5725ADA5" w14:textId="5B8368CF" w:rsidR="00457A3B" w:rsidRDefault="00457A3B" w:rsidP="00857E57">
      <w:pPr>
        <w:pStyle w:val="ListParagraph"/>
        <w:ind w:left="567" w:hanging="567"/>
        <w:rPr>
          <w:sz w:val="22"/>
          <w:szCs w:val="22"/>
        </w:rPr>
      </w:pPr>
    </w:p>
    <w:p w14:paraId="5B58AD2E" w14:textId="77777777" w:rsidR="00457A3B" w:rsidRPr="0098735A" w:rsidRDefault="00457A3B" w:rsidP="00857E57">
      <w:pPr>
        <w:pStyle w:val="ListParagraph"/>
        <w:ind w:left="567" w:hanging="567"/>
        <w:rPr>
          <w:sz w:val="22"/>
          <w:szCs w:val="22"/>
        </w:rPr>
      </w:pPr>
    </w:p>
    <w:p w14:paraId="454012EB" w14:textId="77777777" w:rsidR="0098735A" w:rsidRPr="0098735A" w:rsidRDefault="0098735A" w:rsidP="0098735A">
      <w:pPr>
        <w:pStyle w:val="ListParagraph"/>
        <w:ind w:left="360"/>
        <w:rPr>
          <w:color w:val="000000" w:themeColor="text1"/>
          <w:sz w:val="22"/>
          <w:szCs w:val="22"/>
        </w:rPr>
      </w:pPr>
    </w:p>
    <w:p w14:paraId="261464F3" w14:textId="70C8A008" w:rsidR="005E6621" w:rsidRPr="00DF57A0" w:rsidRDefault="009E6132" w:rsidP="009E6132">
      <w:pPr>
        <w:ind w:left="426" w:hanging="426"/>
        <w:rPr>
          <w:b/>
        </w:rPr>
      </w:pPr>
      <w:r w:rsidRPr="00DF57A0">
        <w:rPr>
          <w:b/>
        </w:rPr>
        <w:lastRenderedPageBreak/>
        <w:t>J]</w:t>
      </w:r>
      <w:r w:rsidRPr="00DF57A0">
        <w:rPr>
          <w:b/>
        </w:rPr>
        <w:tab/>
        <w:t>Further Education</w:t>
      </w:r>
    </w:p>
    <w:p w14:paraId="3EAFD914" w14:textId="0C5E200C" w:rsidR="00177A7A" w:rsidRPr="00457A3B" w:rsidRDefault="009E6132" w:rsidP="00857E57">
      <w:pPr>
        <w:pStyle w:val="ListParagraph"/>
        <w:numPr>
          <w:ilvl w:val="0"/>
          <w:numId w:val="14"/>
        </w:numPr>
        <w:ind w:left="567" w:hanging="567"/>
        <w:rPr>
          <w:b/>
          <w:color w:val="000000" w:themeColor="text1"/>
          <w:sz w:val="22"/>
          <w:szCs w:val="22"/>
        </w:rPr>
      </w:pPr>
      <w:r w:rsidRPr="00DF57A0">
        <w:rPr>
          <w:b/>
          <w:color w:val="000000" w:themeColor="text1"/>
          <w:sz w:val="22"/>
          <w:szCs w:val="22"/>
        </w:rPr>
        <w:t>Body to oversee FE and HE.</w:t>
      </w:r>
      <w:r w:rsidR="00457A3B">
        <w:rPr>
          <w:b/>
          <w:color w:val="000000" w:themeColor="text1"/>
          <w:sz w:val="22"/>
          <w:szCs w:val="22"/>
        </w:rPr>
        <w:t xml:space="preserve"> </w:t>
      </w:r>
      <w:r w:rsidR="00177A7A" w:rsidRPr="00457A3B">
        <w:rPr>
          <w:color w:val="000000" w:themeColor="text1"/>
          <w:sz w:val="22"/>
          <w:szCs w:val="22"/>
        </w:rPr>
        <w:t>The SEA might support this, dependent on what is planned</w:t>
      </w:r>
      <w:r w:rsidR="00E46EC6" w:rsidRPr="00457A3B">
        <w:rPr>
          <w:color w:val="000000" w:themeColor="text1"/>
          <w:sz w:val="22"/>
          <w:szCs w:val="22"/>
        </w:rPr>
        <w:t xml:space="preserve"> and how it is to be implemented.</w:t>
      </w:r>
      <w:r w:rsidR="00177A7A" w:rsidRPr="00457A3B">
        <w:rPr>
          <w:color w:val="000000" w:themeColor="text1"/>
          <w:sz w:val="22"/>
          <w:szCs w:val="22"/>
        </w:rPr>
        <w:t>.</w:t>
      </w:r>
    </w:p>
    <w:p w14:paraId="4B0086DD" w14:textId="455062AC" w:rsidR="00177A7A" w:rsidRPr="00457A3B" w:rsidRDefault="009E6132" w:rsidP="00857E57">
      <w:pPr>
        <w:pStyle w:val="ListParagraph"/>
        <w:numPr>
          <w:ilvl w:val="0"/>
          <w:numId w:val="14"/>
        </w:numPr>
        <w:ind w:left="567" w:hanging="567"/>
        <w:rPr>
          <w:b/>
          <w:color w:val="000000" w:themeColor="text1"/>
          <w:sz w:val="22"/>
          <w:szCs w:val="22"/>
        </w:rPr>
      </w:pPr>
      <w:r w:rsidRPr="00DF57A0">
        <w:rPr>
          <w:b/>
          <w:color w:val="000000" w:themeColor="text1"/>
          <w:sz w:val="22"/>
          <w:szCs w:val="22"/>
        </w:rPr>
        <w:t>Personal Learning Accounts.</w:t>
      </w:r>
      <w:r w:rsidR="00457A3B">
        <w:rPr>
          <w:b/>
          <w:color w:val="000000" w:themeColor="text1"/>
          <w:sz w:val="22"/>
          <w:szCs w:val="22"/>
        </w:rPr>
        <w:t xml:space="preserve"> T</w:t>
      </w:r>
      <w:r w:rsidR="00177A7A" w:rsidRPr="00457A3B">
        <w:rPr>
          <w:color w:val="000000" w:themeColor="text1"/>
          <w:sz w:val="22"/>
          <w:szCs w:val="22"/>
        </w:rPr>
        <w:t>he SEA would like to see pay and condition in FE equivalent to post 16 provision in schools. Many ‘full time’ FE students receive inadequate time for learning (such as 16 hours per week over a 34-week year)</w:t>
      </w:r>
    </w:p>
    <w:p w14:paraId="7CE67E1B" w14:textId="77777777" w:rsidR="009E6132" w:rsidRPr="005E6621" w:rsidRDefault="009E6132" w:rsidP="009E6132">
      <w:pPr>
        <w:ind w:left="426" w:hanging="426"/>
        <w:rPr>
          <w:b/>
          <w:sz w:val="22"/>
          <w:szCs w:val="22"/>
        </w:rPr>
      </w:pPr>
    </w:p>
    <w:p w14:paraId="5AC055C3" w14:textId="37F7C53A" w:rsidR="005E6621" w:rsidRPr="00AE52D3" w:rsidRDefault="009E6132" w:rsidP="009E6132">
      <w:pPr>
        <w:ind w:left="426" w:hanging="426"/>
        <w:rPr>
          <w:b/>
        </w:rPr>
      </w:pPr>
      <w:r w:rsidRPr="00AE52D3">
        <w:rPr>
          <w:b/>
        </w:rPr>
        <w:t>K]</w:t>
      </w:r>
      <w:r w:rsidRPr="00AE52D3">
        <w:rPr>
          <w:b/>
        </w:rPr>
        <w:tab/>
        <w:t>Additional Learning Needs</w:t>
      </w:r>
    </w:p>
    <w:p w14:paraId="32A735A3" w14:textId="0650E03F" w:rsidR="009E6132" w:rsidRPr="00DF57A0" w:rsidRDefault="009E6132" w:rsidP="00857E57">
      <w:pPr>
        <w:pStyle w:val="ListParagraph"/>
        <w:numPr>
          <w:ilvl w:val="0"/>
          <w:numId w:val="15"/>
        </w:numPr>
        <w:ind w:left="567" w:hanging="567"/>
        <w:rPr>
          <w:b/>
          <w:color w:val="000000" w:themeColor="text1"/>
          <w:sz w:val="22"/>
          <w:szCs w:val="22"/>
        </w:rPr>
      </w:pPr>
      <w:r w:rsidRPr="00DF57A0">
        <w:rPr>
          <w:b/>
          <w:color w:val="000000" w:themeColor="text1"/>
          <w:sz w:val="22"/>
          <w:szCs w:val="22"/>
        </w:rPr>
        <w:t>New ALN act.</w:t>
      </w:r>
    </w:p>
    <w:p w14:paraId="67B79704" w14:textId="2E616D7C" w:rsidR="00177A7A" w:rsidRPr="00857E57" w:rsidRDefault="00857E57" w:rsidP="00857E57">
      <w:pPr>
        <w:pStyle w:val="ListParagraph"/>
        <w:ind w:left="567" w:hanging="567"/>
        <w:rPr>
          <w:color w:val="000000" w:themeColor="text1"/>
          <w:sz w:val="22"/>
          <w:szCs w:val="22"/>
        </w:rPr>
      </w:pPr>
      <w:r>
        <w:rPr>
          <w:color w:val="000000" w:themeColor="text1"/>
          <w:sz w:val="22"/>
          <w:szCs w:val="22"/>
        </w:rPr>
        <w:tab/>
      </w:r>
      <w:r w:rsidR="000B07FA" w:rsidRPr="00857E57">
        <w:rPr>
          <w:color w:val="000000" w:themeColor="text1"/>
          <w:sz w:val="22"/>
          <w:szCs w:val="22"/>
        </w:rPr>
        <w:t>Schools are given responsibility for Additional Learning Provision (ALP) but this is non-statutory</w:t>
      </w:r>
      <w:r w:rsidR="00E46EC6" w:rsidRPr="00857E57">
        <w:rPr>
          <w:color w:val="000000" w:themeColor="text1"/>
          <w:sz w:val="22"/>
          <w:szCs w:val="22"/>
        </w:rPr>
        <w:t>, unfunded</w:t>
      </w:r>
      <w:r w:rsidR="000B07FA" w:rsidRPr="00857E57">
        <w:rPr>
          <w:color w:val="000000" w:themeColor="text1"/>
          <w:sz w:val="22"/>
          <w:szCs w:val="22"/>
        </w:rPr>
        <w:t xml:space="preserve"> and may result in staff burn out.</w:t>
      </w:r>
      <w:r w:rsidR="00AA5E0F" w:rsidRPr="00857E57">
        <w:rPr>
          <w:color w:val="000000" w:themeColor="text1"/>
          <w:sz w:val="22"/>
          <w:szCs w:val="22"/>
        </w:rPr>
        <w:t xml:space="preserve"> The education of all pupils must be maintained. Links with other bodies, mentioned in the 2018 Additional Learning Needs. Act (such as CAMS and the Health Boards) should be developed.</w:t>
      </w:r>
      <w:r w:rsidR="00E8510B">
        <w:rPr>
          <w:color w:val="000000" w:themeColor="text1"/>
          <w:sz w:val="22"/>
          <w:szCs w:val="22"/>
        </w:rPr>
        <w:t xml:space="preserve"> Dealing with the education of pupils with additional learning needs is the responsibility of all teachers.</w:t>
      </w:r>
    </w:p>
    <w:p w14:paraId="53C170E6" w14:textId="77777777" w:rsidR="009E6132" w:rsidRPr="005E6621" w:rsidRDefault="009E6132" w:rsidP="009E6132">
      <w:pPr>
        <w:ind w:left="426" w:hanging="426"/>
        <w:rPr>
          <w:b/>
          <w:sz w:val="22"/>
          <w:szCs w:val="22"/>
        </w:rPr>
      </w:pPr>
    </w:p>
    <w:p w14:paraId="628EAF81" w14:textId="37562055" w:rsidR="005E6621" w:rsidRPr="00AE52D3" w:rsidRDefault="009E6132" w:rsidP="009E6132">
      <w:pPr>
        <w:ind w:left="426" w:hanging="426"/>
        <w:rPr>
          <w:b/>
        </w:rPr>
      </w:pPr>
      <w:r w:rsidRPr="00AE52D3">
        <w:rPr>
          <w:b/>
        </w:rPr>
        <w:t>L]</w:t>
      </w:r>
      <w:r w:rsidRPr="00AE52D3">
        <w:rPr>
          <w:b/>
        </w:rPr>
        <w:tab/>
        <w:t>Education and the Welsh Language</w:t>
      </w:r>
    </w:p>
    <w:p w14:paraId="5AFF74D3" w14:textId="2EF538CB" w:rsidR="00E8510B" w:rsidRPr="00E4273E" w:rsidRDefault="009E6132" w:rsidP="00E8510B">
      <w:pPr>
        <w:pStyle w:val="ListParagraph"/>
        <w:numPr>
          <w:ilvl w:val="0"/>
          <w:numId w:val="13"/>
        </w:numPr>
        <w:ind w:left="567" w:hanging="567"/>
        <w:rPr>
          <w:b/>
          <w:color w:val="000000" w:themeColor="text1"/>
          <w:sz w:val="22"/>
          <w:szCs w:val="22"/>
        </w:rPr>
      </w:pPr>
      <w:r w:rsidRPr="00DF57A0">
        <w:rPr>
          <w:b/>
          <w:color w:val="000000" w:themeColor="text1"/>
          <w:sz w:val="22"/>
          <w:szCs w:val="22"/>
        </w:rPr>
        <w:t>One million speakers.</w:t>
      </w:r>
      <w:r w:rsidR="00E4273E">
        <w:rPr>
          <w:b/>
          <w:color w:val="000000" w:themeColor="text1"/>
          <w:sz w:val="22"/>
          <w:szCs w:val="22"/>
        </w:rPr>
        <w:t xml:space="preserve"> </w:t>
      </w:r>
      <w:r w:rsidR="000B07FA" w:rsidRPr="00E4273E">
        <w:rPr>
          <w:color w:val="000000" w:themeColor="text1"/>
          <w:sz w:val="22"/>
          <w:szCs w:val="22"/>
        </w:rPr>
        <w:t>The SEA believes that all schools should make provision for Welsh Teaching and separate Welsh Medium Schools are divisive.</w:t>
      </w:r>
      <w:r w:rsidR="00E46EC6" w:rsidRPr="00E4273E">
        <w:rPr>
          <w:color w:val="000000" w:themeColor="text1"/>
          <w:sz w:val="22"/>
          <w:szCs w:val="22"/>
        </w:rPr>
        <w:t xml:space="preserve"> The higher achievement observed in Welsh </w:t>
      </w:r>
      <w:r w:rsidR="00E255F0" w:rsidRPr="00E4273E">
        <w:rPr>
          <w:color w:val="000000" w:themeColor="text1"/>
          <w:sz w:val="22"/>
          <w:szCs w:val="22"/>
        </w:rPr>
        <w:t>M</w:t>
      </w:r>
      <w:r w:rsidR="00E46EC6" w:rsidRPr="00E4273E">
        <w:rPr>
          <w:color w:val="000000" w:themeColor="text1"/>
          <w:sz w:val="22"/>
          <w:szCs w:val="22"/>
        </w:rPr>
        <w:t xml:space="preserve">edium </w:t>
      </w:r>
      <w:r w:rsidR="00E255F0" w:rsidRPr="00E4273E">
        <w:rPr>
          <w:color w:val="000000" w:themeColor="text1"/>
          <w:sz w:val="22"/>
          <w:szCs w:val="22"/>
        </w:rPr>
        <w:t>S</w:t>
      </w:r>
      <w:r w:rsidR="00E46EC6" w:rsidRPr="00E4273E">
        <w:rPr>
          <w:color w:val="000000" w:themeColor="text1"/>
          <w:sz w:val="22"/>
          <w:szCs w:val="22"/>
        </w:rPr>
        <w:t>chools is explicable by their privileged intake.</w:t>
      </w:r>
      <w:r w:rsidR="0029525B" w:rsidRPr="00E4273E">
        <w:rPr>
          <w:color w:val="000000" w:themeColor="text1"/>
          <w:sz w:val="22"/>
          <w:szCs w:val="22"/>
        </w:rPr>
        <w:t xml:space="preserve"> </w:t>
      </w:r>
      <w:r w:rsidR="00A13EFE" w:rsidRPr="00E4273E">
        <w:rPr>
          <w:color w:val="000000" w:themeColor="text1"/>
          <w:sz w:val="22"/>
          <w:szCs w:val="22"/>
        </w:rPr>
        <w:t>Welsh Government statistics (published 17/2/20) indicate that Welsh medium schools have half the percentage of pupils eligible for free school meals:</w:t>
      </w:r>
    </w:p>
    <w:tbl>
      <w:tblPr>
        <w:tblStyle w:val="TableGrid"/>
        <w:tblW w:w="0" w:type="auto"/>
        <w:tblInd w:w="607" w:type="dxa"/>
        <w:tblLook w:val="04A0" w:firstRow="1" w:lastRow="0" w:firstColumn="1" w:lastColumn="0" w:noHBand="0" w:noVBand="1"/>
      </w:tblPr>
      <w:tblGrid>
        <w:gridCol w:w="2082"/>
        <w:gridCol w:w="2976"/>
        <w:gridCol w:w="3261"/>
      </w:tblGrid>
      <w:tr w:rsidR="00E8510B" w:rsidRPr="00E8510B" w14:paraId="047A7247" w14:textId="77777777" w:rsidTr="00457A3B">
        <w:tc>
          <w:tcPr>
            <w:tcW w:w="2082" w:type="dxa"/>
          </w:tcPr>
          <w:p w14:paraId="1D6A8714" w14:textId="6BA94BE3" w:rsidR="00A13EFE" w:rsidRPr="00E8510B" w:rsidRDefault="00A13EFE" w:rsidP="00E8510B">
            <w:pPr>
              <w:pStyle w:val="ListParagraph"/>
              <w:ind w:left="567" w:hanging="567"/>
              <w:rPr>
                <w:color w:val="000000" w:themeColor="text1"/>
                <w:sz w:val="22"/>
                <w:szCs w:val="22"/>
              </w:rPr>
            </w:pPr>
            <w:r w:rsidRPr="00E8510B">
              <w:rPr>
                <w:color w:val="000000" w:themeColor="text1"/>
                <w:sz w:val="22"/>
                <w:szCs w:val="22"/>
              </w:rPr>
              <w:t>Age group</w:t>
            </w:r>
          </w:p>
        </w:tc>
        <w:tc>
          <w:tcPr>
            <w:tcW w:w="2976" w:type="dxa"/>
          </w:tcPr>
          <w:p w14:paraId="1ACCC264" w14:textId="3DF368BF" w:rsidR="00A13EFE" w:rsidRPr="00E8510B" w:rsidRDefault="00A13EFE" w:rsidP="00457A3B">
            <w:pPr>
              <w:pStyle w:val="ListParagraph"/>
              <w:ind w:left="567" w:hanging="567"/>
              <w:jc w:val="center"/>
              <w:rPr>
                <w:color w:val="000000" w:themeColor="text1"/>
                <w:sz w:val="22"/>
                <w:szCs w:val="22"/>
              </w:rPr>
            </w:pPr>
            <w:r w:rsidRPr="00E8510B">
              <w:rPr>
                <w:color w:val="000000" w:themeColor="text1"/>
                <w:sz w:val="22"/>
                <w:szCs w:val="22"/>
              </w:rPr>
              <w:t>Welsh medium schools</w:t>
            </w:r>
          </w:p>
        </w:tc>
        <w:tc>
          <w:tcPr>
            <w:tcW w:w="3261" w:type="dxa"/>
          </w:tcPr>
          <w:p w14:paraId="3C4A2BAD" w14:textId="2D8620FD" w:rsidR="00A13EFE" w:rsidRPr="00E8510B" w:rsidRDefault="00A13EFE" w:rsidP="00457A3B">
            <w:pPr>
              <w:pStyle w:val="ListParagraph"/>
              <w:ind w:left="567" w:hanging="567"/>
              <w:jc w:val="center"/>
              <w:rPr>
                <w:color w:val="000000" w:themeColor="text1"/>
                <w:sz w:val="22"/>
                <w:szCs w:val="22"/>
              </w:rPr>
            </w:pPr>
            <w:r w:rsidRPr="00E8510B">
              <w:rPr>
                <w:color w:val="000000" w:themeColor="text1"/>
                <w:sz w:val="22"/>
                <w:szCs w:val="22"/>
              </w:rPr>
              <w:t>English medium schools</w:t>
            </w:r>
          </w:p>
        </w:tc>
      </w:tr>
      <w:tr w:rsidR="00E8510B" w:rsidRPr="00E8510B" w14:paraId="09394788" w14:textId="77777777" w:rsidTr="00457A3B">
        <w:tc>
          <w:tcPr>
            <w:tcW w:w="2082" w:type="dxa"/>
          </w:tcPr>
          <w:p w14:paraId="493DF3D3" w14:textId="7A12B5FB" w:rsidR="00A13EFE" w:rsidRPr="00E8510B" w:rsidRDefault="00A13EFE" w:rsidP="00E8510B">
            <w:pPr>
              <w:pStyle w:val="ListParagraph"/>
              <w:ind w:left="567" w:hanging="567"/>
              <w:rPr>
                <w:color w:val="000000" w:themeColor="text1"/>
                <w:sz w:val="22"/>
                <w:szCs w:val="22"/>
              </w:rPr>
            </w:pPr>
            <w:r w:rsidRPr="00E8510B">
              <w:rPr>
                <w:color w:val="000000" w:themeColor="text1"/>
                <w:sz w:val="22"/>
                <w:szCs w:val="22"/>
              </w:rPr>
              <w:t>Foundation phase</w:t>
            </w:r>
          </w:p>
        </w:tc>
        <w:tc>
          <w:tcPr>
            <w:tcW w:w="2976" w:type="dxa"/>
          </w:tcPr>
          <w:p w14:paraId="68BFCB54" w14:textId="2DCD42F0" w:rsidR="00A13EFE" w:rsidRPr="00E8510B" w:rsidRDefault="00A13EFE" w:rsidP="00E8510B">
            <w:pPr>
              <w:pStyle w:val="ListParagraph"/>
              <w:ind w:left="567" w:hanging="567"/>
              <w:jc w:val="center"/>
              <w:rPr>
                <w:color w:val="000000" w:themeColor="text1"/>
                <w:sz w:val="22"/>
                <w:szCs w:val="22"/>
              </w:rPr>
            </w:pPr>
            <w:r w:rsidRPr="00E8510B">
              <w:rPr>
                <w:color w:val="000000" w:themeColor="text1"/>
                <w:sz w:val="22"/>
                <w:szCs w:val="22"/>
              </w:rPr>
              <w:t>8.7%</w:t>
            </w:r>
          </w:p>
        </w:tc>
        <w:tc>
          <w:tcPr>
            <w:tcW w:w="3261" w:type="dxa"/>
          </w:tcPr>
          <w:p w14:paraId="20E84204" w14:textId="15E396B1" w:rsidR="00A13EFE" w:rsidRPr="00E8510B" w:rsidRDefault="00A13EFE" w:rsidP="00E8510B">
            <w:pPr>
              <w:pStyle w:val="ListParagraph"/>
              <w:ind w:left="567" w:hanging="567"/>
              <w:jc w:val="center"/>
              <w:rPr>
                <w:color w:val="000000" w:themeColor="text1"/>
                <w:sz w:val="22"/>
                <w:szCs w:val="22"/>
              </w:rPr>
            </w:pPr>
            <w:r w:rsidRPr="00E8510B">
              <w:rPr>
                <w:color w:val="000000" w:themeColor="text1"/>
                <w:sz w:val="22"/>
                <w:szCs w:val="22"/>
              </w:rPr>
              <w:t>16.5%</w:t>
            </w:r>
          </w:p>
        </w:tc>
      </w:tr>
      <w:tr w:rsidR="00E8510B" w:rsidRPr="00E8510B" w14:paraId="3CA4AFAF" w14:textId="77777777" w:rsidTr="00457A3B">
        <w:tc>
          <w:tcPr>
            <w:tcW w:w="2082" w:type="dxa"/>
          </w:tcPr>
          <w:p w14:paraId="0D6A93D4" w14:textId="766C4476" w:rsidR="00A13EFE" w:rsidRPr="00E8510B" w:rsidRDefault="00A13EFE" w:rsidP="00E8510B">
            <w:pPr>
              <w:pStyle w:val="ListParagraph"/>
              <w:ind w:left="567" w:hanging="567"/>
              <w:rPr>
                <w:color w:val="000000" w:themeColor="text1"/>
                <w:sz w:val="22"/>
                <w:szCs w:val="22"/>
              </w:rPr>
            </w:pPr>
            <w:r w:rsidRPr="00E8510B">
              <w:rPr>
                <w:color w:val="000000" w:themeColor="text1"/>
                <w:sz w:val="22"/>
                <w:szCs w:val="22"/>
              </w:rPr>
              <w:t>Key stage 2</w:t>
            </w:r>
          </w:p>
        </w:tc>
        <w:tc>
          <w:tcPr>
            <w:tcW w:w="2976" w:type="dxa"/>
          </w:tcPr>
          <w:p w14:paraId="4CB5E87B" w14:textId="43EA919D" w:rsidR="00A13EFE" w:rsidRPr="00E8510B" w:rsidRDefault="00A13EFE" w:rsidP="00E8510B">
            <w:pPr>
              <w:pStyle w:val="ListParagraph"/>
              <w:ind w:left="567" w:hanging="567"/>
              <w:jc w:val="center"/>
              <w:rPr>
                <w:color w:val="000000" w:themeColor="text1"/>
                <w:sz w:val="22"/>
                <w:szCs w:val="22"/>
              </w:rPr>
            </w:pPr>
            <w:r w:rsidRPr="00E8510B">
              <w:rPr>
                <w:color w:val="000000" w:themeColor="text1"/>
                <w:sz w:val="22"/>
                <w:szCs w:val="22"/>
              </w:rPr>
              <w:t>9.6%</w:t>
            </w:r>
          </w:p>
        </w:tc>
        <w:tc>
          <w:tcPr>
            <w:tcW w:w="3261" w:type="dxa"/>
          </w:tcPr>
          <w:p w14:paraId="79A4A6EC" w14:textId="6273057E" w:rsidR="00A13EFE" w:rsidRPr="00E8510B" w:rsidRDefault="00A13EFE" w:rsidP="00E8510B">
            <w:pPr>
              <w:pStyle w:val="ListParagraph"/>
              <w:ind w:left="567" w:hanging="567"/>
              <w:jc w:val="center"/>
              <w:rPr>
                <w:color w:val="000000" w:themeColor="text1"/>
                <w:sz w:val="22"/>
                <w:szCs w:val="22"/>
              </w:rPr>
            </w:pPr>
            <w:r w:rsidRPr="00E8510B">
              <w:rPr>
                <w:color w:val="000000" w:themeColor="text1"/>
                <w:sz w:val="22"/>
                <w:szCs w:val="22"/>
              </w:rPr>
              <w:t>18.5%</w:t>
            </w:r>
          </w:p>
        </w:tc>
      </w:tr>
      <w:tr w:rsidR="00E8510B" w:rsidRPr="00E8510B" w14:paraId="30A5DE67" w14:textId="77777777" w:rsidTr="00457A3B">
        <w:tc>
          <w:tcPr>
            <w:tcW w:w="2082" w:type="dxa"/>
          </w:tcPr>
          <w:p w14:paraId="28A89E4A" w14:textId="3EBC5C3A" w:rsidR="00A13EFE" w:rsidRPr="00E8510B" w:rsidRDefault="00A13EFE" w:rsidP="00E8510B">
            <w:pPr>
              <w:pStyle w:val="ListParagraph"/>
              <w:ind w:left="567" w:hanging="567"/>
              <w:rPr>
                <w:color w:val="000000" w:themeColor="text1"/>
                <w:sz w:val="22"/>
                <w:szCs w:val="22"/>
              </w:rPr>
            </w:pPr>
            <w:r w:rsidRPr="00E8510B">
              <w:rPr>
                <w:color w:val="000000" w:themeColor="text1"/>
                <w:sz w:val="22"/>
                <w:szCs w:val="22"/>
              </w:rPr>
              <w:t>Key stage 3</w:t>
            </w:r>
          </w:p>
        </w:tc>
        <w:tc>
          <w:tcPr>
            <w:tcW w:w="2976" w:type="dxa"/>
          </w:tcPr>
          <w:p w14:paraId="67CD4AE2" w14:textId="069FF6EE" w:rsidR="00A13EFE" w:rsidRPr="00E8510B" w:rsidRDefault="00A13EFE" w:rsidP="00E8510B">
            <w:pPr>
              <w:pStyle w:val="ListParagraph"/>
              <w:ind w:left="567" w:hanging="567"/>
              <w:jc w:val="center"/>
              <w:rPr>
                <w:color w:val="000000" w:themeColor="text1"/>
                <w:sz w:val="22"/>
                <w:szCs w:val="22"/>
              </w:rPr>
            </w:pPr>
            <w:r w:rsidRPr="00E8510B">
              <w:rPr>
                <w:color w:val="000000" w:themeColor="text1"/>
                <w:sz w:val="22"/>
                <w:szCs w:val="22"/>
              </w:rPr>
              <w:t>11.9%</w:t>
            </w:r>
          </w:p>
        </w:tc>
        <w:tc>
          <w:tcPr>
            <w:tcW w:w="3261" w:type="dxa"/>
          </w:tcPr>
          <w:p w14:paraId="49BE9D50" w14:textId="661374DE" w:rsidR="00A13EFE" w:rsidRPr="00E8510B" w:rsidRDefault="00A13EFE" w:rsidP="00E8510B">
            <w:pPr>
              <w:pStyle w:val="ListParagraph"/>
              <w:ind w:left="567" w:hanging="567"/>
              <w:jc w:val="center"/>
              <w:rPr>
                <w:color w:val="000000" w:themeColor="text1"/>
                <w:sz w:val="22"/>
                <w:szCs w:val="22"/>
              </w:rPr>
            </w:pPr>
            <w:r w:rsidRPr="00E8510B">
              <w:rPr>
                <w:color w:val="000000" w:themeColor="text1"/>
                <w:sz w:val="22"/>
                <w:szCs w:val="22"/>
              </w:rPr>
              <w:t>20.3%</w:t>
            </w:r>
          </w:p>
        </w:tc>
      </w:tr>
      <w:tr w:rsidR="00E8510B" w:rsidRPr="00E8510B" w14:paraId="0B30BBCA" w14:textId="77777777" w:rsidTr="00457A3B">
        <w:tc>
          <w:tcPr>
            <w:tcW w:w="2082" w:type="dxa"/>
          </w:tcPr>
          <w:p w14:paraId="28A537E9" w14:textId="747E5C87" w:rsidR="00A13EFE" w:rsidRPr="00E8510B" w:rsidRDefault="00A13EFE" w:rsidP="00E8510B">
            <w:pPr>
              <w:pStyle w:val="ListParagraph"/>
              <w:ind w:left="567" w:hanging="567"/>
              <w:rPr>
                <w:color w:val="000000" w:themeColor="text1"/>
                <w:sz w:val="22"/>
                <w:szCs w:val="22"/>
              </w:rPr>
            </w:pPr>
            <w:r w:rsidRPr="00E8510B">
              <w:rPr>
                <w:color w:val="000000" w:themeColor="text1"/>
                <w:sz w:val="22"/>
                <w:szCs w:val="22"/>
              </w:rPr>
              <w:t>Key stage 4</w:t>
            </w:r>
          </w:p>
        </w:tc>
        <w:tc>
          <w:tcPr>
            <w:tcW w:w="2976" w:type="dxa"/>
          </w:tcPr>
          <w:p w14:paraId="655EA7CE" w14:textId="61FE5565" w:rsidR="00A13EFE" w:rsidRPr="00E8510B" w:rsidRDefault="00A13EFE" w:rsidP="00E8510B">
            <w:pPr>
              <w:pStyle w:val="ListParagraph"/>
              <w:ind w:left="567" w:hanging="567"/>
              <w:jc w:val="center"/>
              <w:rPr>
                <w:color w:val="000000" w:themeColor="text1"/>
                <w:sz w:val="22"/>
                <w:szCs w:val="22"/>
              </w:rPr>
            </w:pPr>
            <w:r w:rsidRPr="00E8510B">
              <w:rPr>
                <w:color w:val="000000" w:themeColor="text1"/>
                <w:sz w:val="22"/>
                <w:szCs w:val="22"/>
              </w:rPr>
              <w:t>10.0%</w:t>
            </w:r>
          </w:p>
        </w:tc>
        <w:tc>
          <w:tcPr>
            <w:tcW w:w="3261" w:type="dxa"/>
          </w:tcPr>
          <w:p w14:paraId="7B587295" w14:textId="19EF2BC6" w:rsidR="00A13EFE" w:rsidRPr="00E8510B" w:rsidRDefault="00A13EFE" w:rsidP="00E8510B">
            <w:pPr>
              <w:pStyle w:val="ListParagraph"/>
              <w:ind w:left="567" w:hanging="567"/>
              <w:jc w:val="center"/>
              <w:rPr>
                <w:color w:val="000000" w:themeColor="text1"/>
                <w:sz w:val="22"/>
                <w:szCs w:val="22"/>
              </w:rPr>
            </w:pPr>
            <w:r w:rsidRPr="00E8510B">
              <w:rPr>
                <w:color w:val="000000" w:themeColor="text1"/>
                <w:sz w:val="22"/>
                <w:szCs w:val="22"/>
              </w:rPr>
              <w:t>22.0%</w:t>
            </w:r>
          </w:p>
        </w:tc>
      </w:tr>
    </w:tbl>
    <w:p w14:paraId="1FBE8BD2" w14:textId="33C5F32A" w:rsidR="00D30CDA" w:rsidRPr="00D30CDA" w:rsidRDefault="0029525B" w:rsidP="00D30CDA">
      <w:pPr>
        <w:pStyle w:val="ListParagraph"/>
        <w:ind w:left="567" w:hanging="567"/>
        <w:rPr>
          <w:color w:val="000000" w:themeColor="text1"/>
          <w:sz w:val="22"/>
          <w:szCs w:val="22"/>
        </w:rPr>
      </w:pPr>
      <w:r w:rsidRPr="00E8510B">
        <w:rPr>
          <w:color w:val="000000" w:themeColor="text1"/>
          <w:sz w:val="22"/>
          <w:szCs w:val="22"/>
        </w:rPr>
        <w:t xml:space="preserve"> </w:t>
      </w:r>
      <w:r w:rsidR="00E8510B">
        <w:rPr>
          <w:color w:val="000000" w:themeColor="text1"/>
          <w:sz w:val="22"/>
          <w:szCs w:val="22"/>
        </w:rPr>
        <w:tab/>
      </w:r>
      <w:r w:rsidR="00A13EFE" w:rsidRPr="00E8510B">
        <w:rPr>
          <w:color w:val="000000" w:themeColor="text1"/>
          <w:sz w:val="22"/>
          <w:szCs w:val="22"/>
        </w:rPr>
        <w:t xml:space="preserve">Currently, </w:t>
      </w:r>
      <w:r w:rsidRPr="00E8510B">
        <w:rPr>
          <w:color w:val="000000" w:themeColor="text1"/>
          <w:sz w:val="22"/>
          <w:szCs w:val="22"/>
        </w:rPr>
        <w:t>there is over-emphasis on formal Welsh grammar</w:t>
      </w:r>
      <w:r w:rsidR="00D30CDA">
        <w:rPr>
          <w:color w:val="000000" w:themeColor="text1"/>
          <w:sz w:val="22"/>
          <w:szCs w:val="22"/>
        </w:rPr>
        <w:t xml:space="preserve">. The language needs to be simplified and examination standards changed so that more young people are confident in using it. </w:t>
      </w:r>
      <w:r w:rsidRPr="00E8510B">
        <w:rPr>
          <w:color w:val="000000" w:themeColor="text1"/>
          <w:sz w:val="22"/>
          <w:szCs w:val="22"/>
        </w:rPr>
        <w:t xml:space="preserve"> </w:t>
      </w:r>
    </w:p>
    <w:p w14:paraId="47A3F84F" w14:textId="0AE8CAF3" w:rsidR="00E8510B" w:rsidRPr="00E4273E" w:rsidRDefault="009E6132" w:rsidP="00D30CDA">
      <w:pPr>
        <w:pStyle w:val="ListParagraph"/>
        <w:numPr>
          <w:ilvl w:val="0"/>
          <w:numId w:val="13"/>
        </w:numPr>
        <w:ind w:left="567" w:hanging="567"/>
        <w:rPr>
          <w:b/>
          <w:color w:val="000000" w:themeColor="text1"/>
          <w:sz w:val="22"/>
          <w:szCs w:val="22"/>
        </w:rPr>
      </w:pPr>
      <w:r w:rsidRPr="00DF57A0">
        <w:rPr>
          <w:b/>
          <w:color w:val="000000" w:themeColor="text1"/>
          <w:sz w:val="22"/>
          <w:szCs w:val="22"/>
        </w:rPr>
        <w:t>Developing Modern Foreign Language teaching.</w:t>
      </w:r>
      <w:r w:rsidR="00E4273E">
        <w:rPr>
          <w:b/>
          <w:color w:val="000000" w:themeColor="text1"/>
          <w:sz w:val="22"/>
          <w:szCs w:val="22"/>
        </w:rPr>
        <w:t xml:space="preserve"> </w:t>
      </w:r>
      <w:r w:rsidR="000B07FA" w:rsidRPr="00E4273E">
        <w:rPr>
          <w:color w:val="000000" w:themeColor="text1"/>
          <w:sz w:val="22"/>
          <w:szCs w:val="22"/>
        </w:rPr>
        <w:t xml:space="preserve">This is somewhat of a pious hope in the absence of </w:t>
      </w:r>
      <w:r w:rsidR="00A97E3F" w:rsidRPr="00E4273E">
        <w:rPr>
          <w:color w:val="000000" w:themeColor="text1"/>
          <w:sz w:val="22"/>
          <w:szCs w:val="22"/>
        </w:rPr>
        <w:t xml:space="preserve">significant </w:t>
      </w:r>
      <w:r w:rsidR="000B07FA" w:rsidRPr="00E4273E">
        <w:rPr>
          <w:color w:val="000000" w:themeColor="text1"/>
          <w:sz w:val="22"/>
          <w:szCs w:val="22"/>
        </w:rPr>
        <w:t>planning and funding.</w:t>
      </w:r>
    </w:p>
    <w:p w14:paraId="4711DE7C" w14:textId="139104EE" w:rsidR="00AA5E0F" w:rsidRDefault="00AA5E0F" w:rsidP="000B07FA">
      <w:pPr>
        <w:pStyle w:val="ListParagraph"/>
        <w:ind w:left="360"/>
        <w:rPr>
          <w:color w:val="FF0000"/>
          <w:sz w:val="22"/>
          <w:szCs w:val="22"/>
        </w:rPr>
      </w:pPr>
    </w:p>
    <w:p w14:paraId="01CE652C" w14:textId="7879C9CF" w:rsidR="00E8510B" w:rsidRPr="00FF7306" w:rsidRDefault="00E8510B" w:rsidP="00E8510B">
      <w:pPr>
        <w:pStyle w:val="ListParagraph"/>
        <w:ind w:left="567" w:hanging="567"/>
        <w:rPr>
          <w:color w:val="000000" w:themeColor="text1"/>
          <w:sz w:val="22"/>
          <w:szCs w:val="22"/>
        </w:rPr>
      </w:pPr>
      <w:r w:rsidRPr="00FF7306">
        <w:rPr>
          <w:color w:val="002060"/>
          <w:sz w:val="22"/>
          <w:szCs w:val="22"/>
        </w:rPr>
        <w:tab/>
      </w:r>
      <w:r w:rsidRPr="00FF7306">
        <w:rPr>
          <w:color w:val="000000" w:themeColor="text1"/>
          <w:sz w:val="22"/>
          <w:szCs w:val="22"/>
        </w:rPr>
        <w:t xml:space="preserve">Conclusion – the </w:t>
      </w:r>
      <w:r w:rsidR="00AA5E0F" w:rsidRPr="00FF7306">
        <w:rPr>
          <w:color w:val="000000" w:themeColor="text1"/>
          <w:sz w:val="22"/>
          <w:szCs w:val="22"/>
        </w:rPr>
        <w:t>aims of Educatio</w:t>
      </w:r>
      <w:r w:rsidRPr="00FF7306">
        <w:rPr>
          <w:color w:val="000000" w:themeColor="text1"/>
          <w:sz w:val="22"/>
          <w:szCs w:val="22"/>
        </w:rPr>
        <w:t>n</w:t>
      </w:r>
    </w:p>
    <w:p w14:paraId="7340059A" w14:textId="3B76CCB9" w:rsidR="00E8510B" w:rsidRPr="008A60DC" w:rsidRDefault="00E8510B" w:rsidP="008A60DC">
      <w:pPr>
        <w:pStyle w:val="ListParagraph"/>
        <w:numPr>
          <w:ilvl w:val="0"/>
          <w:numId w:val="21"/>
        </w:numPr>
        <w:ind w:left="567" w:hanging="567"/>
        <w:rPr>
          <w:color w:val="000000" w:themeColor="text1"/>
          <w:sz w:val="22"/>
          <w:szCs w:val="22"/>
        </w:rPr>
      </w:pPr>
      <w:r w:rsidRPr="008A60DC">
        <w:rPr>
          <w:color w:val="000000" w:themeColor="text1"/>
          <w:sz w:val="22"/>
          <w:szCs w:val="22"/>
        </w:rPr>
        <w:t>Education is not about the success or failure of the children it serves. If there is a problem, it is a problem of the system, not the children.</w:t>
      </w:r>
    </w:p>
    <w:p w14:paraId="5798B052" w14:textId="6B1C6E6C" w:rsidR="00E8510B" w:rsidRPr="008A60DC" w:rsidRDefault="00E8510B" w:rsidP="008A60DC">
      <w:pPr>
        <w:pStyle w:val="ListParagraph"/>
        <w:numPr>
          <w:ilvl w:val="0"/>
          <w:numId w:val="21"/>
        </w:numPr>
        <w:ind w:left="567" w:hanging="567"/>
        <w:rPr>
          <w:color w:val="000000" w:themeColor="text1"/>
          <w:sz w:val="22"/>
          <w:szCs w:val="22"/>
        </w:rPr>
      </w:pPr>
      <w:r w:rsidRPr="008A60DC">
        <w:rPr>
          <w:color w:val="000000" w:themeColor="text1"/>
          <w:sz w:val="22"/>
          <w:szCs w:val="22"/>
        </w:rPr>
        <w:t>Education should be about offering good opportunities for children to enjoy learning, not just about examination success.</w:t>
      </w:r>
    </w:p>
    <w:p w14:paraId="3CC52463" w14:textId="036ABDAF" w:rsidR="00E8510B" w:rsidRPr="008A60DC" w:rsidRDefault="00E8510B" w:rsidP="008A60DC">
      <w:pPr>
        <w:pStyle w:val="ListParagraph"/>
        <w:numPr>
          <w:ilvl w:val="0"/>
          <w:numId w:val="21"/>
        </w:numPr>
        <w:ind w:left="567" w:hanging="567"/>
        <w:rPr>
          <w:color w:val="000000" w:themeColor="text1"/>
          <w:sz w:val="22"/>
          <w:szCs w:val="22"/>
        </w:rPr>
      </w:pPr>
      <w:r w:rsidRPr="008A60DC">
        <w:rPr>
          <w:color w:val="000000" w:themeColor="text1"/>
          <w:sz w:val="22"/>
          <w:szCs w:val="22"/>
        </w:rPr>
        <w:t>Education shoul</w:t>
      </w:r>
      <w:r w:rsidR="00DF57A0" w:rsidRPr="008A60DC">
        <w:rPr>
          <w:color w:val="000000" w:themeColor="text1"/>
          <w:sz w:val="22"/>
          <w:szCs w:val="22"/>
        </w:rPr>
        <w:t>d</w:t>
      </w:r>
      <w:r w:rsidRPr="008A60DC">
        <w:rPr>
          <w:color w:val="000000" w:themeColor="text1"/>
          <w:sz w:val="22"/>
          <w:szCs w:val="22"/>
        </w:rPr>
        <w:t xml:space="preserve"> allow people, of all ages, to demonstrate skills, the type and balance of which will differ between individuals but </w:t>
      </w:r>
      <w:r w:rsidR="00E4273E">
        <w:rPr>
          <w:color w:val="000000" w:themeColor="text1"/>
          <w:sz w:val="22"/>
          <w:szCs w:val="22"/>
        </w:rPr>
        <w:t>which is to</w:t>
      </w:r>
      <w:r w:rsidRPr="008A60DC">
        <w:rPr>
          <w:color w:val="000000" w:themeColor="text1"/>
          <w:sz w:val="22"/>
          <w:szCs w:val="22"/>
        </w:rPr>
        <w:t xml:space="preserve"> be equally valued.</w:t>
      </w:r>
    </w:p>
    <w:p w14:paraId="71F5C64E" w14:textId="654BE3E7" w:rsidR="00DF57A0" w:rsidRPr="008A60DC" w:rsidRDefault="00DF57A0" w:rsidP="008A60DC">
      <w:pPr>
        <w:pStyle w:val="ListParagraph"/>
        <w:numPr>
          <w:ilvl w:val="0"/>
          <w:numId w:val="21"/>
        </w:numPr>
        <w:ind w:left="567" w:hanging="567"/>
        <w:rPr>
          <w:color w:val="000000" w:themeColor="text1"/>
          <w:sz w:val="22"/>
          <w:szCs w:val="22"/>
        </w:rPr>
      </w:pPr>
      <w:r w:rsidRPr="008A60DC">
        <w:rPr>
          <w:color w:val="000000" w:themeColor="text1"/>
          <w:sz w:val="22"/>
          <w:szCs w:val="22"/>
        </w:rPr>
        <w:t>Education includes basic skills and vocational techniques, but it also offers access to the entire spectrum of culture created by those who have gone before.</w:t>
      </w:r>
    </w:p>
    <w:p w14:paraId="2B72F4D4" w14:textId="52AD8DE8" w:rsidR="00DF57A0" w:rsidRDefault="00DF57A0" w:rsidP="008A60DC">
      <w:pPr>
        <w:pStyle w:val="ListParagraph"/>
        <w:numPr>
          <w:ilvl w:val="0"/>
          <w:numId w:val="21"/>
        </w:numPr>
        <w:ind w:left="567" w:hanging="567"/>
        <w:rPr>
          <w:color w:val="000000" w:themeColor="text1"/>
          <w:sz w:val="22"/>
          <w:szCs w:val="22"/>
        </w:rPr>
      </w:pPr>
      <w:r w:rsidRPr="008A60DC">
        <w:rPr>
          <w:color w:val="000000" w:themeColor="text1"/>
          <w:sz w:val="22"/>
          <w:szCs w:val="22"/>
        </w:rPr>
        <w:t xml:space="preserve">It also allow </w:t>
      </w:r>
      <w:r w:rsidR="00E4273E">
        <w:rPr>
          <w:color w:val="000000" w:themeColor="text1"/>
          <w:sz w:val="22"/>
          <w:szCs w:val="22"/>
        </w:rPr>
        <w:t>further</w:t>
      </w:r>
      <w:r w:rsidRPr="008A60DC">
        <w:rPr>
          <w:color w:val="000000" w:themeColor="text1"/>
          <w:sz w:val="22"/>
          <w:szCs w:val="22"/>
        </w:rPr>
        <w:t xml:space="preserve"> contribution to the skills and knowledge of humankind, both in the locality and globally.</w:t>
      </w:r>
    </w:p>
    <w:p w14:paraId="47FBC4F5" w14:textId="6D294501" w:rsidR="00E4273E" w:rsidRPr="008A60DC" w:rsidRDefault="00E4273E" w:rsidP="008A60DC">
      <w:pPr>
        <w:pStyle w:val="ListParagraph"/>
        <w:numPr>
          <w:ilvl w:val="0"/>
          <w:numId w:val="21"/>
        </w:numPr>
        <w:ind w:left="567" w:hanging="567"/>
        <w:rPr>
          <w:color w:val="000000" w:themeColor="text1"/>
          <w:sz w:val="22"/>
          <w:szCs w:val="22"/>
        </w:rPr>
      </w:pPr>
      <w:r>
        <w:rPr>
          <w:color w:val="000000" w:themeColor="text1"/>
          <w:sz w:val="22"/>
          <w:szCs w:val="22"/>
        </w:rPr>
        <w:t>The best structure to deliver these aims is a National Education Service, administered through local democracy. It needs to be supported by adequate funding, sufficient to reverse the austerity cuts of the wasted Tory Years. It needs to be supported by enthusiastic Local Authority Teams. Accountability must be largely provided through self-assessment by those who are doing the job - assisted and supported (but not dominated) by good practitioners in the schools, the Local Authorities and Estyn.</w:t>
      </w:r>
    </w:p>
    <w:p w14:paraId="6824E0BF" w14:textId="69CEF579" w:rsidR="000B07FA" w:rsidRPr="005E6621" w:rsidRDefault="000B07FA" w:rsidP="000B07FA">
      <w:pPr>
        <w:pStyle w:val="ListParagraph"/>
        <w:ind w:left="360"/>
        <w:rPr>
          <w:color w:val="FF0000"/>
          <w:sz w:val="22"/>
          <w:szCs w:val="22"/>
        </w:rPr>
      </w:pPr>
    </w:p>
    <w:sectPr w:rsidR="000B07FA" w:rsidRPr="005E6621" w:rsidSect="00052048">
      <w:headerReference w:type="default" r:id="rId7"/>
      <w:footerReference w:type="even" r:id="rId8"/>
      <w:footerReference w:type="default" r:id="rId9"/>
      <w:headerReference w:type="first" r:id="rId10"/>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B0B5" w14:textId="77777777" w:rsidR="00BF063D" w:rsidRDefault="00BF063D" w:rsidP="000B07FA">
      <w:r>
        <w:separator/>
      </w:r>
    </w:p>
  </w:endnote>
  <w:endnote w:type="continuationSeparator" w:id="0">
    <w:p w14:paraId="372ADD72" w14:textId="77777777" w:rsidR="00BF063D" w:rsidRDefault="00BF063D" w:rsidP="000B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215090"/>
      <w:docPartObj>
        <w:docPartGallery w:val="Page Numbers (Bottom of Page)"/>
        <w:docPartUnique/>
      </w:docPartObj>
    </w:sdtPr>
    <w:sdtEndPr>
      <w:rPr>
        <w:rStyle w:val="PageNumber"/>
      </w:rPr>
    </w:sdtEndPr>
    <w:sdtContent>
      <w:p w14:paraId="6B782B15" w14:textId="004B379D" w:rsidR="000B07FA" w:rsidRDefault="000B07FA" w:rsidP="00D002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EC484" w14:textId="77777777" w:rsidR="000B07FA" w:rsidRDefault="000B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5889992"/>
      <w:docPartObj>
        <w:docPartGallery w:val="Page Numbers (Bottom of Page)"/>
        <w:docPartUnique/>
      </w:docPartObj>
    </w:sdtPr>
    <w:sdtEndPr>
      <w:rPr>
        <w:rStyle w:val="PageNumber"/>
      </w:rPr>
    </w:sdtEndPr>
    <w:sdtContent>
      <w:p w14:paraId="1487CAC9" w14:textId="2A91748B" w:rsidR="000B07FA" w:rsidRDefault="000B07FA" w:rsidP="00D002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32D8CE" w14:textId="3E489A29" w:rsidR="000B07FA" w:rsidRDefault="000B07FA">
    <w:pPr>
      <w:pStyle w:val="Footer"/>
    </w:pPr>
  </w:p>
  <w:p w14:paraId="244D8E13" w14:textId="77777777" w:rsidR="000B07FA" w:rsidRDefault="000B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80FE1" w14:textId="77777777" w:rsidR="00BF063D" w:rsidRDefault="00BF063D" w:rsidP="000B07FA">
      <w:r>
        <w:separator/>
      </w:r>
    </w:p>
  </w:footnote>
  <w:footnote w:type="continuationSeparator" w:id="0">
    <w:p w14:paraId="20C302A6" w14:textId="77777777" w:rsidR="00BF063D" w:rsidRDefault="00BF063D" w:rsidP="000B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12EF" w14:textId="3E1EFCB9" w:rsidR="002204FA" w:rsidRDefault="002204FA" w:rsidP="002204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25A4" w14:textId="77777777" w:rsidR="002204FA" w:rsidRPr="002204FA" w:rsidRDefault="002204FA" w:rsidP="002204FA">
    <w:pPr>
      <w:pStyle w:val="Header"/>
      <w:jc w:val="center"/>
      <w:rPr>
        <w:b/>
        <w:sz w:val="28"/>
        <w:szCs w:val="28"/>
      </w:rPr>
    </w:pPr>
    <w:r w:rsidRPr="002204FA">
      <w:rPr>
        <w:b/>
        <w:sz w:val="28"/>
        <w:szCs w:val="28"/>
      </w:rPr>
      <w:t>SEA Cymru comments on Education and Lifelong Learning</w:t>
    </w:r>
  </w:p>
  <w:p w14:paraId="29FAD5A7" w14:textId="0B0C0E50" w:rsidR="002204FA" w:rsidRDefault="002204FA" w:rsidP="002204FA">
    <w:pPr>
      <w:pStyle w:val="Header"/>
      <w:jc w:val="center"/>
      <w:rPr>
        <w:b/>
      </w:rPr>
    </w:pPr>
    <w:r w:rsidRPr="00D9426F">
      <w:rPr>
        <w:b/>
      </w:rPr>
      <w:t>(Stage 2 consultation</w:t>
    </w:r>
    <w:r>
      <w:rPr>
        <w:b/>
      </w:rPr>
      <w:t xml:space="preserve"> by Welsh Labour for the Welsh Policy Forum</w:t>
    </w:r>
    <w:r w:rsidRPr="00D9426F">
      <w:rPr>
        <w:b/>
      </w:rPr>
      <w:t>)</w:t>
    </w:r>
  </w:p>
  <w:p w14:paraId="688DC137" w14:textId="3ED7CA59" w:rsidR="00C3178A" w:rsidRDefault="00C3178A" w:rsidP="002204FA">
    <w:pPr>
      <w:pStyle w:val="Header"/>
      <w:jc w:val="center"/>
      <w:rPr>
        <w:b/>
      </w:rPr>
    </w:pPr>
    <w:r>
      <w:rPr>
        <w:b/>
      </w:rPr>
      <w:t>[</w:t>
    </w:r>
    <w:r w:rsidR="006C38A4">
      <w:rPr>
        <w:b/>
      </w:rPr>
      <w:t>H</w:t>
    </w:r>
    <w:r>
      <w:rPr>
        <w:b/>
      </w:rPr>
      <w:t xml:space="preserve">eadings </w:t>
    </w:r>
    <w:r w:rsidR="006C38A4">
      <w:rPr>
        <w:b/>
      </w:rPr>
      <w:t xml:space="preserve">in bold </w:t>
    </w:r>
    <w:r>
      <w:rPr>
        <w:b/>
      </w:rPr>
      <w:t>refer to paragraphs in the Policy Forum document]</w:t>
    </w:r>
  </w:p>
  <w:p w14:paraId="528618AB" w14:textId="2A77D5FA" w:rsidR="002204FA" w:rsidRDefault="002204FA" w:rsidP="002204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EB9"/>
    <w:multiLevelType w:val="hybridMultilevel"/>
    <w:tmpl w:val="D80AA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93F65"/>
    <w:multiLevelType w:val="hybridMultilevel"/>
    <w:tmpl w:val="AE84A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836144"/>
    <w:multiLevelType w:val="hybridMultilevel"/>
    <w:tmpl w:val="6C7067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4626A18"/>
    <w:multiLevelType w:val="hybridMultilevel"/>
    <w:tmpl w:val="7A06A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10B2"/>
    <w:multiLevelType w:val="hybridMultilevel"/>
    <w:tmpl w:val="39EA2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ED7E2D"/>
    <w:multiLevelType w:val="hybridMultilevel"/>
    <w:tmpl w:val="F4449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425B55"/>
    <w:multiLevelType w:val="hybridMultilevel"/>
    <w:tmpl w:val="33803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7E4FA6"/>
    <w:multiLevelType w:val="multilevel"/>
    <w:tmpl w:val="9918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3E3CF9"/>
    <w:multiLevelType w:val="hybridMultilevel"/>
    <w:tmpl w:val="A3C2C816"/>
    <w:lvl w:ilvl="0" w:tplc="12324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371D1C"/>
    <w:multiLevelType w:val="hybridMultilevel"/>
    <w:tmpl w:val="38BCF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8D6D0F"/>
    <w:multiLevelType w:val="hybridMultilevel"/>
    <w:tmpl w:val="38125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275F32"/>
    <w:multiLevelType w:val="hybridMultilevel"/>
    <w:tmpl w:val="AC6A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73467"/>
    <w:multiLevelType w:val="hybridMultilevel"/>
    <w:tmpl w:val="123E3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8D346E"/>
    <w:multiLevelType w:val="hybridMultilevel"/>
    <w:tmpl w:val="30C2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C4FD0"/>
    <w:multiLevelType w:val="hybridMultilevel"/>
    <w:tmpl w:val="2D8CD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5D4F51"/>
    <w:multiLevelType w:val="hybridMultilevel"/>
    <w:tmpl w:val="14E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32797"/>
    <w:multiLevelType w:val="hybridMultilevel"/>
    <w:tmpl w:val="315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E0B08"/>
    <w:multiLevelType w:val="hybridMultilevel"/>
    <w:tmpl w:val="E6AA8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21019"/>
    <w:multiLevelType w:val="hybridMultilevel"/>
    <w:tmpl w:val="8E700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A63A3E"/>
    <w:multiLevelType w:val="hybridMultilevel"/>
    <w:tmpl w:val="A3C2C816"/>
    <w:lvl w:ilvl="0" w:tplc="12324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5B6D57"/>
    <w:multiLevelType w:val="hybridMultilevel"/>
    <w:tmpl w:val="ECD8C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9"/>
  </w:num>
  <w:num w:numId="4">
    <w:abstractNumId w:val="14"/>
  </w:num>
  <w:num w:numId="5">
    <w:abstractNumId w:val="19"/>
  </w:num>
  <w:num w:numId="6">
    <w:abstractNumId w:val="18"/>
  </w:num>
  <w:num w:numId="7">
    <w:abstractNumId w:val="13"/>
  </w:num>
  <w:num w:numId="8">
    <w:abstractNumId w:val="6"/>
  </w:num>
  <w:num w:numId="9">
    <w:abstractNumId w:val="1"/>
  </w:num>
  <w:num w:numId="10">
    <w:abstractNumId w:val="4"/>
  </w:num>
  <w:num w:numId="11">
    <w:abstractNumId w:val="20"/>
  </w:num>
  <w:num w:numId="12">
    <w:abstractNumId w:val="17"/>
  </w:num>
  <w:num w:numId="13">
    <w:abstractNumId w:val="0"/>
  </w:num>
  <w:num w:numId="14">
    <w:abstractNumId w:val="10"/>
  </w:num>
  <w:num w:numId="15">
    <w:abstractNumId w:val="12"/>
  </w:num>
  <w:num w:numId="16">
    <w:abstractNumId w:val="7"/>
  </w:num>
  <w:num w:numId="17">
    <w:abstractNumId w:val="11"/>
  </w:num>
  <w:num w:numId="18">
    <w:abstractNumId w:val="5"/>
  </w:num>
  <w:num w:numId="19">
    <w:abstractNumId w:val="1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08"/>
    <w:rsid w:val="00026829"/>
    <w:rsid w:val="00052048"/>
    <w:rsid w:val="000535BC"/>
    <w:rsid w:val="000B07FA"/>
    <w:rsid w:val="001467DC"/>
    <w:rsid w:val="001745FA"/>
    <w:rsid w:val="0017471E"/>
    <w:rsid w:val="001755BB"/>
    <w:rsid w:val="00177A7A"/>
    <w:rsid w:val="001877C1"/>
    <w:rsid w:val="001D7955"/>
    <w:rsid w:val="001F1D47"/>
    <w:rsid w:val="001F290F"/>
    <w:rsid w:val="002204FA"/>
    <w:rsid w:val="0025200F"/>
    <w:rsid w:val="00280C78"/>
    <w:rsid w:val="0029525B"/>
    <w:rsid w:val="00297CBC"/>
    <w:rsid w:val="002B29E5"/>
    <w:rsid w:val="002C7ABB"/>
    <w:rsid w:val="002D319C"/>
    <w:rsid w:val="00311326"/>
    <w:rsid w:val="0033224C"/>
    <w:rsid w:val="00384799"/>
    <w:rsid w:val="003A1D0D"/>
    <w:rsid w:val="003B60E8"/>
    <w:rsid w:val="003E42C9"/>
    <w:rsid w:val="004113F8"/>
    <w:rsid w:val="004158C9"/>
    <w:rsid w:val="00417607"/>
    <w:rsid w:val="00421800"/>
    <w:rsid w:val="0042671D"/>
    <w:rsid w:val="00457A3B"/>
    <w:rsid w:val="004A29AB"/>
    <w:rsid w:val="004C5A0F"/>
    <w:rsid w:val="004D04BF"/>
    <w:rsid w:val="00550495"/>
    <w:rsid w:val="005A59EB"/>
    <w:rsid w:val="005B6573"/>
    <w:rsid w:val="005E6621"/>
    <w:rsid w:val="005E78DF"/>
    <w:rsid w:val="005F222F"/>
    <w:rsid w:val="00602646"/>
    <w:rsid w:val="00637B42"/>
    <w:rsid w:val="00657FCC"/>
    <w:rsid w:val="0066325F"/>
    <w:rsid w:val="006C38A4"/>
    <w:rsid w:val="00711870"/>
    <w:rsid w:val="007656D3"/>
    <w:rsid w:val="007948CD"/>
    <w:rsid w:val="007B2A34"/>
    <w:rsid w:val="007F0212"/>
    <w:rsid w:val="00807D2C"/>
    <w:rsid w:val="00857E57"/>
    <w:rsid w:val="008A60DC"/>
    <w:rsid w:val="008E1374"/>
    <w:rsid w:val="008E1558"/>
    <w:rsid w:val="008E440E"/>
    <w:rsid w:val="00955BE5"/>
    <w:rsid w:val="00957CF5"/>
    <w:rsid w:val="00963B85"/>
    <w:rsid w:val="00975CD6"/>
    <w:rsid w:val="0098735A"/>
    <w:rsid w:val="00996D08"/>
    <w:rsid w:val="009D2989"/>
    <w:rsid w:val="009E6132"/>
    <w:rsid w:val="00A13EFE"/>
    <w:rsid w:val="00A20CC8"/>
    <w:rsid w:val="00A3273A"/>
    <w:rsid w:val="00A338C6"/>
    <w:rsid w:val="00A97E3F"/>
    <w:rsid w:val="00AA033F"/>
    <w:rsid w:val="00AA5E0F"/>
    <w:rsid w:val="00AD4F13"/>
    <w:rsid w:val="00AE52D3"/>
    <w:rsid w:val="00B9266B"/>
    <w:rsid w:val="00BF063D"/>
    <w:rsid w:val="00C3178A"/>
    <w:rsid w:val="00C42AD3"/>
    <w:rsid w:val="00CA5FC1"/>
    <w:rsid w:val="00CC566B"/>
    <w:rsid w:val="00CC737B"/>
    <w:rsid w:val="00CD1432"/>
    <w:rsid w:val="00D05907"/>
    <w:rsid w:val="00D223E8"/>
    <w:rsid w:val="00D250B3"/>
    <w:rsid w:val="00D30CDA"/>
    <w:rsid w:val="00D9426F"/>
    <w:rsid w:val="00DA25F7"/>
    <w:rsid w:val="00DB6439"/>
    <w:rsid w:val="00DE1FCF"/>
    <w:rsid w:val="00DF57A0"/>
    <w:rsid w:val="00E255F0"/>
    <w:rsid w:val="00E30F19"/>
    <w:rsid w:val="00E4273E"/>
    <w:rsid w:val="00E46EC6"/>
    <w:rsid w:val="00E8510B"/>
    <w:rsid w:val="00F521E7"/>
    <w:rsid w:val="00F6058B"/>
    <w:rsid w:val="00FA0529"/>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6303"/>
  <w14:defaultImageDpi w14:val="32767"/>
  <w15:chartTrackingRefBased/>
  <w15:docId w15:val="{F1AE4889-7FC5-7F4A-AEA4-7704AEE7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7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08"/>
    <w:pPr>
      <w:ind w:left="720"/>
      <w:contextualSpacing/>
    </w:pPr>
  </w:style>
  <w:style w:type="paragraph" w:styleId="NormalWeb">
    <w:name w:val="Normal (Web)"/>
    <w:basedOn w:val="Normal"/>
    <w:uiPriority w:val="99"/>
    <w:semiHidden/>
    <w:unhideWhenUsed/>
    <w:rsid w:val="00A3273A"/>
    <w:pPr>
      <w:spacing w:before="100" w:beforeAutospacing="1" w:after="100" w:afterAutospacing="1"/>
    </w:pPr>
  </w:style>
  <w:style w:type="table" w:styleId="TableGrid">
    <w:name w:val="Table Grid"/>
    <w:basedOn w:val="TableNormal"/>
    <w:uiPriority w:val="39"/>
    <w:rsid w:val="003E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7FA"/>
    <w:pPr>
      <w:tabs>
        <w:tab w:val="center" w:pos="4680"/>
        <w:tab w:val="right" w:pos="9360"/>
      </w:tabs>
    </w:pPr>
  </w:style>
  <w:style w:type="character" w:customStyle="1" w:styleId="HeaderChar">
    <w:name w:val="Header Char"/>
    <w:basedOn w:val="DefaultParagraphFont"/>
    <w:link w:val="Header"/>
    <w:uiPriority w:val="99"/>
    <w:rsid w:val="000B07FA"/>
    <w:rPr>
      <w:rFonts w:ascii="Times New Roman" w:eastAsia="Times New Roman" w:hAnsi="Times New Roman" w:cs="Times New Roman"/>
    </w:rPr>
  </w:style>
  <w:style w:type="paragraph" w:styleId="Footer">
    <w:name w:val="footer"/>
    <w:basedOn w:val="Normal"/>
    <w:link w:val="FooterChar"/>
    <w:uiPriority w:val="99"/>
    <w:unhideWhenUsed/>
    <w:rsid w:val="000B07FA"/>
    <w:pPr>
      <w:tabs>
        <w:tab w:val="center" w:pos="4680"/>
        <w:tab w:val="right" w:pos="9360"/>
      </w:tabs>
    </w:pPr>
  </w:style>
  <w:style w:type="character" w:customStyle="1" w:styleId="FooterChar">
    <w:name w:val="Footer Char"/>
    <w:basedOn w:val="DefaultParagraphFont"/>
    <w:link w:val="Footer"/>
    <w:uiPriority w:val="99"/>
    <w:rsid w:val="000B07FA"/>
    <w:rPr>
      <w:rFonts w:ascii="Times New Roman" w:eastAsia="Times New Roman" w:hAnsi="Times New Roman" w:cs="Times New Roman"/>
    </w:rPr>
  </w:style>
  <w:style w:type="character" w:styleId="PageNumber">
    <w:name w:val="page number"/>
    <w:basedOn w:val="DefaultParagraphFont"/>
    <w:uiPriority w:val="99"/>
    <w:semiHidden/>
    <w:unhideWhenUsed/>
    <w:rsid w:val="000B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1330">
      <w:bodyDiv w:val="1"/>
      <w:marLeft w:val="0"/>
      <w:marRight w:val="0"/>
      <w:marTop w:val="0"/>
      <w:marBottom w:val="0"/>
      <w:divBdr>
        <w:top w:val="none" w:sz="0" w:space="0" w:color="auto"/>
        <w:left w:val="none" w:sz="0" w:space="0" w:color="auto"/>
        <w:bottom w:val="none" w:sz="0" w:space="0" w:color="auto"/>
        <w:right w:val="none" w:sz="0" w:space="0" w:color="auto"/>
      </w:divBdr>
    </w:div>
    <w:div w:id="1396395624">
      <w:bodyDiv w:val="1"/>
      <w:marLeft w:val="0"/>
      <w:marRight w:val="0"/>
      <w:marTop w:val="0"/>
      <w:marBottom w:val="0"/>
      <w:divBdr>
        <w:top w:val="none" w:sz="0" w:space="0" w:color="auto"/>
        <w:left w:val="none" w:sz="0" w:space="0" w:color="auto"/>
        <w:bottom w:val="none" w:sz="0" w:space="0" w:color="auto"/>
        <w:right w:val="none" w:sz="0" w:space="0" w:color="auto"/>
      </w:divBdr>
      <w:divsChild>
        <w:div w:id="49618695">
          <w:marLeft w:val="0"/>
          <w:marRight w:val="0"/>
          <w:marTop w:val="0"/>
          <w:marBottom w:val="0"/>
          <w:divBdr>
            <w:top w:val="none" w:sz="0" w:space="0" w:color="auto"/>
            <w:left w:val="none" w:sz="0" w:space="0" w:color="auto"/>
            <w:bottom w:val="none" w:sz="0" w:space="0" w:color="auto"/>
            <w:right w:val="none" w:sz="0" w:space="0" w:color="auto"/>
          </w:divBdr>
          <w:divsChild>
            <w:div w:id="1429423609">
              <w:marLeft w:val="0"/>
              <w:marRight w:val="0"/>
              <w:marTop w:val="0"/>
              <w:marBottom w:val="0"/>
              <w:divBdr>
                <w:top w:val="none" w:sz="0" w:space="0" w:color="auto"/>
                <w:left w:val="none" w:sz="0" w:space="0" w:color="auto"/>
                <w:bottom w:val="none" w:sz="0" w:space="0" w:color="auto"/>
                <w:right w:val="none" w:sz="0" w:space="0" w:color="auto"/>
              </w:divBdr>
              <w:divsChild>
                <w:div w:id="1794782809">
                  <w:marLeft w:val="0"/>
                  <w:marRight w:val="0"/>
                  <w:marTop w:val="0"/>
                  <w:marBottom w:val="0"/>
                  <w:divBdr>
                    <w:top w:val="none" w:sz="0" w:space="0" w:color="auto"/>
                    <w:left w:val="none" w:sz="0" w:space="0" w:color="auto"/>
                    <w:bottom w:val="none" w:sz="0" w:space="0" w:color="auto"/>
                    <w:right w:val="none" w:sz="0" w:space="0" w:color="auto"/>
                  </w:divBdr>
                  <w:divsChild>
                    <w:div w:id="1674920347">
                      <w:marLeft w:val="0"/>
                      <w:marRight w:val="0"/>
                      <w:marTop w:val="0"/>
                      <w:marBottom w:val="0"/>
                      <w:divBdr>
                        <w:top w:val="none" w:sz="0" w:space="0" w:color="auto"/>
                        <w:left w:val="none" w:sz="0" w:space="0" w:color="auto"/>
                        <w:bottom w:val="none" w:sz="0" w:space="0" w:color="auto"/>
                        <w:right w:val="none" w:sz="0" w:space="0" w:color="auto"/>
                      </w:divBdr>
                    </w:div>
                  </w:divsChild>
                </w:div>
                <w:div w:id="768744480">
                  <w:marLeft w:val="0"/>
                  <w:marRight w:val="0"/>
                  <w:marTop w:val="0"/>
                  <w:marBottom w:val="0"/>
                  <w:divBdr>
                    <w:top w:val="none" w:sz="0" w:space="0" w:color="auto"/>
                    <w:left w:val="none" w:sz="0" w:space="0" w:color="auto"/>
                    <w:bottom w:val="none" w:sz="0" w:space="0" w:color="auto"/>
                    <w:right w:val="none" w:sz="0" w:space="0" w:color="auto"/>
                  </w:divBdr>
                  <w:divsChild>
                    <w:div w:id="2127458009">
                      <w:marLeft w:val="0"/>
                      <w:marRight w:val="0"/>
                      <w:marTop w:val="0"/>
                      <w:marBottom w:val="0"/>
                      <w:divBdr>
                        <w:top w:val="none" w:sz="0" w:space="0" w:color="auto"/>
                        <w:left w:val="none" w:sz="0" w:space="0" w:color="auto"/>
                        <w:bottom w:val="none" w:sz="0" w:space="0" w:color="auto"/>
                        <w:right w:val="none" w:sz="0" w:space="0" w:color="auto"/>
                      </w:divBdr>
                    </w:div>
                  </w:divsChild>
                </w:div>
                <w:div w:id="395780148">
                  <w:marLeft w:val="0"/>
                  <w:marRight w:val="0"/>
                  <w:marTop w:val="0"/>
                  <w:marBottom w:val="0"/>
                  <w:divBdr>
                    <w:top w:val="none" w:sz="0" w:space="0" w:color="auto"/>
                    <w:left w:val="none" w:sz="0" w:space="0" w:color="auto"/>
                    <w:bottom w:val="none" w:sz="0" w:space="0" w:color="auto"/>
                    <w:right w:val="none" w:sz="0" w:space="0" w:color="auto"/>
                  </w:divBdr>
                  <w:divsChild>
                    <w:div w:id="354499956">
                      <w:marLeft w:val="0"/>
                      <w:marRight w:val="0"/>
                      <w:marTop w:val="0"/>
                      <w:marBottom w:val="0"/>
                      <w:divBdr>
                        <w:top w:val="none" w:sz="0" w:space="0" w:color="auto"/>
                        <w:left w:val="none" w:sz="0" w:space="0" w:color="auto"/>
                        <w:bottom w:val="none" w:sz="0" w:space="0" w:color="auto"/>
                        <w:right w:val="none" w:sz="0" w:space="0" w:color="auto"/>
                      </w:divBdr>
                    </w:div>
                  </w:divsChild>
                </w:div>
                <w:div w:id="1744252351">
                  <w:marLeft w:val="0"/>
                  <w:marRight w:val="0"/>
                  <w:marTop w:val="0"/>
                  <w:marBottom w:val="0"/>
                  <w:divBdr>
                    <w:top w:val="none" w:sz="0" w:space="0" w:color="auto"/>
                    <w:left w:val="none" w:sz="0" w:space="0" w:color="auto"/>
                    <w:bottom w:val="none" w:sz="0" w:space="0" w:color="auto"/>
                    <w:right w:val="none" w:sz="0" w:space="0" w:color="auto"/>
                  </w:divBdr>
                  <w:divsChild>
                    <w:div w:id="1822426682">
                      <w:marLeft w:val="0"/>
                      <w:marRight w:val="0"/>
                      <w:marTop w:val="0"/>
                      <w:marBottom w:val="0"/>
                      <w:divBdr>
                        <w:top w:val="none" w:sz="0" w:space="0" w:color="auto"/>
                        <w:left w:val="none" w:sz="0" w:space="0" w:color="auto"/>
                        <w:bottom w:val="none" w:sz="0" w:space="0" w:color="auto"/>
                        <w:right w:val="none" w:sz="0" w:space="0" w:color="auto"/>
                      </w:divBdr>
                    </w:div>
                  </w:divsChild>
                </w:div>
                <w:div w:id="14114622">
                  <w:marLeft w:val="0"/>
                  <w:marRight w:val="0"/>
                  <w:marTop w:val="0"/>
                  <w:marBottom w:val="0"/>
                  <w:divBdr>
                    <w:top w:val="none" w:sz="0" w:space="0" w:color="auto"/>
                    <w:left w:val="none" w:sz="0" w:space="0" w:color="auto"/>
                    <w:bottom w:val="none" w:sz="0" w:space="0" w:color="auto"/>
                    <w:right w:val="none" w:sz="0" w:space="0" w:color="auto"/>
                  </w:divBdr>
                  <w:divsChild>
                    <w:div w:id="436172825">
                      <w:marLeft w:val="0"/>
                      <w:marRight w:val="0"/>
                      <w:marTop w:val="0"/>
                      <w:marBottom w:val="0"/>
                      <w:divBdr>
                        <w:top w:val="none" w:sz="0" w:space="0" w:color="auto"/>
                        <w:left w:val="none" w:sz="0" w:space="0" w:color="auto"/>
                        <w:bottom w:val="none" w:sz="0" w:space="0" w:color="auto"/>
                        <w:right w:val="none" w:sz="0" w:space="0" w:color="auto"/>
                      </w:divBdr>
                    </w:div>
                  </w:divsChild>
                </w:div>
                <w:div w:id="1088774997">
                  <w:marLeft w:val="0"/>
                  <w:marRight w:val="0"/>
                  <w:marTop w:val="0"/>
                  <w:marBottom w:val="0"/>
                  <w:divBdr>
                    <w:top w:val="none" w:sz="0" w:space="0" w:color="auto"/>
                    <w:left w:val="none" w:sz="0" w:space="0" w:color="auto"/>
                    <w:bottom w:val="none" w:sz="0" w:space="0" w:color="auto"/>
                    <w:right w:val="none" w:sz="0" w:space="0" w:color="auto"/>
                  </w:divBdr>
                  <w:divsChild>
                    <w:div w:id="1720321580">
                      <w:marLeft w:val="0"/>
                      <w:marRight w:val="0"/>
                      <w:marTop w:val="0"/>
                      <w:marBottom w:val="0"/>
                      <w:divBdr>
                        <w:top w:val="none" w:sz="0" w:space="0" w:color="auto"/>
                        <w:left w:val="none" w:sz="0" w:space="0" w:color="auto"/>
                        <w:bottom w:val="none" w:sz="0" w:space="0" w:color="auto"/>
                        <w:right w:val="none" w:sz="0" w:space="0" w:color="auto"/>
                      </w:divBdr>
                    </w:div>
                  </w:divsChild>
                </w:div>
                <w:div w:id="1056078580">
                  <w:marLeft w:val="0"/>
                  <w:marRight w:val="0"/>
                  <w:marTop w:val="0"/>
                  <w:marBottom w:val="0"/>
                  <w:divBdr>
                    <w:top w:val="none" w:sz="0" w:space="0" w:color="auto"/>
                    <w:left w:val="none" w:sz="0" w:space="0" w:color="auto"/>
                    <w:bottom w:val="none" w:sz="0" w:space="0" w:color="auto"/>
                    <w:right w:val="none" w:sz="0" w:space="0" w:color="auto"/>
                  </w:divBdr>
                  <w:divsChild>
                    <w:div w:id="1403866639">
                      <w:marLeft w:val="0"/>
                      <w:marRight w:val="0"/>
                      <w:marTop w:val="0"/>
                      <w:marBottom w:val="0"/>
                      <w:divBdr>
                        <w:top w:val="none" w:sz="0" w:space="0" w:color="auto"/>
                        <w:left w:val="none" w:sz="0" w:space="0" w:color="auto"/>
                        <w:bottom w:val="none" w:sz="0" w:space="0" w:color="auto"/>
                        <w:right w:val="none" w:sz="0" w:space="0" w:color="auto"/>
                      </w:divBdr>
                    </w:div>
                  </w:divsChild>
                </w:div>
                <w:div w:id="1619289963">
                  <w:marLeft w:val="0"/>
                  <w:marRight w:val="0"/>
                  <w:marTop w:val="0"/>
                  <w:marBottom w:val="0"/>
                  <w:divBdr>
                    <w:top w:val="none" w:sz="0" w:space="0" w:color="auto"/>
                    <w:left w:val="none" w:sz="0" w:space="0" w:color="auto"/>
                    <w:bottom w:val="none" w:sz="0" w:space="0" w:color="auto"/>
                    <w:right w:val="none" w:sz="0" w:space="0" w:color="auto"/>
                  </w:divBdr>
                  <w:divsChild>
                    <w:div w:id="535854658">
                      <w:marLeft w:val="0"/>
                      <w:marRight w:val="0"/>
                      <w:marTop w:val="0"/>
                      <w:marBottom w:val="0"/>
                      <w:divBdr>
                        <w:top w:val="none" w:sz="0" w:space="0" w:color="auto"/>
                        <w:left w:val="none" w:sz="0" w:space="0" w:color="auto"/>
                        <w:bottom w:val="none" w:sz="0" w:space="0" w:color="auto"/>
                        <w:right w:val="none" w:sz="0" w:space="0" w:color="auto"/>
                      </w:divBdr>
                    </w:div>
                  </w:divsChild>
                </w:div>
                <w:div w:id="1953321003">
                  <w:marLeft w:val="0"/>
                  <w:marRight w:val="0"/>
                  <w:marTop w:val="0"/>
                  <w:marBottom w:val="0"/>
                  <w:divBdr>
                    <w:top w:val="none" w:sz="0" w:space="0" w:color="auto"/>
                    <w:left w:val="none" w:sz="0" w:space="0" w:color="auto"/>
                    <w:bottom w:val="none" w:sz="0" w:space="0" w:color="auto"/>
                    <w:right w:val="none" w:sz="0" w:space="0" w:color="auto"/>
                  </w:divBdr>
                  <w:divsChild>
                    <w:div w:id="263540321">
                      <w:marLeft w:val="0"/>
                      <w:marRight w:val="0"/>
                      <w:marTop w:val="0"/>
                      <w:marBottom w:val="0"/>
                      <w:divBdr>
                        <w:top w:val="none" w:sz="0" w:space="0" w:color="auto"/>
                        <w:left w:val="none" w:sz="0" w:space="0" w:color="auto"/>
                        <w:bottom w:val="none" w:sz="0" w:space="0" w:color="auto"/>
                        <w:right w:val="none" w:sz="0" w:space="0" w:color="auto"/>
                      </w:divBdr>
                    </w:div>
                  </w:divsChild>
                </w:div>
                <w:div w:id="1192840609">
                  <w:marLeft w:val="0"/>
                  <w:marRight w:val="0"/>
                  <w:marTop w:val="0"/>
                  <w:marBottom w:val="0"/>
                  <w:divBdr>
                    <w:top w:val="none" w:sz="0" w:space="0" w:color="auto"/>
                    <w:left w:val="none" w:sz="0" w:space="0" w:color="auto"/>
                    <w:bottom w:val="none" w:sz="0" w:space="0" w:color="auto"/>
                    <w:right w:val="none" w:sz="0" w:space="0" w:color="auto"/>
                  </w:divBdr>
                  <w:divsChild>
                    <w:div w:id="499664346">
                      <w:marLeft w:val="0"/>
                      <w:marRight w:val="0"/>
                      <w:marTop w:val="0"/>
                      <w:marBottom w:val="0"/>
                      <w:divBdr>
                        <w:top w:val="none" w:sz="0" w:space="0" w:color="auto"/>
                        <w:left w:val="none" w:sz="0" w:space="0" w:color="auto"/>
                        <w:bottom w:val="none" w:sz="0" w:space="0" w:color="auto"/>
                        <w:right w:val="none" w:sz="0" w:space="0" w:color="auto"/>
                      </w:divBdr>
                    </w:div>
                  </w:divsChild>
                </w:div>
                <w:div w:id="795489522">
                  <w:marLeft w:val="0"/>
                  <w:marRight w:val="0"/>
                  <w:marTop w:val="0"/>
                  <w:marBottom w:val="0"/>
                  <w:divBdr>
                    <w:top w:val="none" w:sz="0" w:space="0" w:color="auto"/>
                    <w:left w:val="none" w:sz="0" w:space="0" w:color="auto"/>
                    <w:bottom w:val="none" w:sz="0" w:space="0" w:color="auto"/>
                    <w:right w:val="none" w:sz="0" w:space="0" w:color="auto"/>
                  </w:divBdr>
                  <w:divsChild>
                    <w:div w:id="756291326">
                      <w:marLeft w:val="0"/>
                      <w:marRight w:val="0"/>
                      <w:marTop w:val="0"/>
                      <w:marBottom w:val="0"/>
                      <w:divBdr>
                        <w:top w:val="none" w:sz="0" w:space="0" w:color="auto"/>
                        <w:left w:val="none" w:sz="0" w:space="0" w:color="auto"/>
                        <w:bottom w:val="none" w:sz="0" w:space="0" w:color="auto"/>
                        <w:right w:val="none" w:sz="0" w:space="0" w:color="auto"/>
                      </w:divBdr>
                    </w:div>
                  </w:divsChild>
                </w:div>
                <w:div w:id="1934623585">
                  <w:marLeft w:val="0"/>
                  <w:marRight w:val="0"/>
                  <w:marTop w:val="0"/>
                  <w:marBottom w:val="0"/>
                  <w:divBdr>
                    <w:top w:val="none" w:sz="0" w:space="0" w:color="auto"/>
                    <w:left w:val="none" w:sz="0" w:space="0" w:color="auto"/>
                    <w:bottom w:val="none" w:sz="0" w:space="0" w:color="auto"/>
                    <w:right w:val="none" w:sz="0" w:space="0" w:color="auto"/>
                  </w:divBdr>
                  <w:divsChild>
                    <w:div w:id="1380280407">
                      <w:marLeft w:val="0"/>
                      <w:marRight w:val="0"/>
                      <w:marTop w:val="0"/>
                      <w:marBottom w:val="0"/>
                      <w:divBdr>
                        <w:top w:val="none" w:sz="0" w:space="0" w:color="auto"/>
                        <w:left w:val="none" w:sz="0" w:space="0" w:color="auto"/>
                        <w:bottom w:val="none" w:sz="0" w:space="0" w:color="auto"/>
                        <w:right w:val="none" w:sz="0" w:space="0" w:color="auto"/>
                      </w:divBdr>
                    </w:div>
                  </w:divsChild>
                </w:div>
                <w:div w:id="1228302123">
                  <w:marLeft w:val="0"/>
                  <w:marRight w:val="0"/>
                  <w:marTop w:val="0"/>
                  <w:marBottom w:val="0"/>
                  <w:divBdr>
                    <w:top w:val="none" w:sz="0" w:space="0" w:color="auto"/>
                    <w:left w:val="none" w:sz="0" w:space="0" w:color="auto"/>
                    <w:bottom w:val="none" w:sz="0" w:space="0" w:color="auto"/>
                    <w:right w:val="none" w:sz="0" w:space="0" w:color="auto"/>
                  </w:divBdr>
                  <w:divsChild>
                    <w:div w:id="759982579">
                      <w:marLeft w:val="0"/>
                      <w:marRight w:val="0"/>
                      <w:marTop w:val="0"/>
                      <w:marBottom w:val="0"/>
                      <w:divBdr>
                        <w:top w:val="none" w:sz="0" w:space="0" w:color="auto"/>
                        <w:left w:val="none" w:sz="0" w:space="0" w:color="auto"/>
                        <w:bottom w:val="none" w:sz="0" w:space="0" w:color="auto"/>
                        <w:right w:val="none" w:sz="0" w:space="0" w:color="auto"/>
                      </w:divBdr>
                    </w:div>
                  </w:divsChild>
                </w:div>
                <w:div w:id="1940793639">
                  <w:marLeft w:val="0"/>
                  <w:marRight w:val="0"/>
                  <w:marTop w:val="0"/>
                  <w:marBottom w:val="0"/>
                  <w:divBdr>
                    <w:top w:val="none" w:sz="0" w:space="0" w:color="auto"/>
                    <w:left w:val="none" w:sz="0" w:space="0" w:color="auto"/>
                    <w:bottom w:val="none" w:sz="0" w:space="0" w:color="auto"/>
                    <w:right w:val="none" w:sz="0" w:space="0" w:color="auto"/>
                  </w:divBdr>
                  <w:divsChild>
                    <w:div w:id="2012099887">
                      <w:marLeft w:val="0"/>
                      <w:marRight w:val="0"/>
                      <w:marTop w:val="0"/>
                      <w:marBottom w:val="0"/>
                      <w:divBdr>
                        <w:top w:val="none" w:sz="0" w:space="0" w:color="auto"/>
                        <w:left w:val="none" w:sz="0" w:space="0" w:color="auto"/>
                        <w:bottom w:val="none" w:sz="0" w:space="0" w:color="auto"/>
                        <w:right w:val="none" w:sz="0" w:space="0" w:color="auto"/>
                      </w:divBdr>
                    </w:div>
                  </w:divsChild>
                </w:div>
                <w:div w:id="715393847">
                  <w:marLeft w:val="0"/>
                  <w:marRight w:val="0"/>
                  <w:marTop w:val="0"/>
                  <w:marBottom w:val="0"/>
                  <w:divBdr>
                    <w:top w:val="none" w:sz="0" w:space="0" w:color="auto"/>
                    <w:left w:val="none" w:sz="0" w:space="0" w:color="auto"/>
                    <w:bottom w:val="none" w:sz="0" w:space="0" w:color="auto"/>
                    <w:right w:val="none" w:sz="0" w:space="0" w:color="auto"/>
                  </w:divBdr>
                  <w:divsChild>
                    <w:div w:id="1112818340">
                      <w:marLeft w:val="0"/>
                      <w:marRight w:val="0"/>
                      <w:marTop w:val="0"/>
                      <w:marBottom w:val="0"/>
                      <w:divBdr>
                        <w:top w:val="none" w:sz="0" w:space="0" w:color="auto"/>
                        <w:left w:val="none" w:sz="0" w:space="0" w:color="auto"/>
                        <w:bottom w:val="none" w:sz="0" w:space="0" w:color="auto"/>
                        <w:right w:val="none" w:sz="0" w:space="0" w:color="auto"/>
                      </w:divBdr>
                    </w:div>
                  </w:divsChild>
                </w:div>
                <w:div w:id="431628614">
                  <w:marLeft w:val="0"/>
                  <w:marRight w:val="0"/>
                  <w:marTop w:val="0"/>
                  <w:marBottom w:val="0"/>
                  <w:divBdr>
                    <w:top w:val="none" w:sz="0" w:space="0" w:color="auto"/>
                    <w:left w:val="none" w:sz="0" w:space="0" w:color="auto"/>
                    <w:bottom w:val="none" w:sz="0" w:space="0" w:color="auto"/>
                    <w:right w:val="none" w:sz="0" w:space="0" w:color="auto"/>
                  </w:divBdr>
                  <w:divsChild>
                    <w:div w:id="1012996809">
                      <w:marLeft w:val="0"/>
                      <w:marRight w:val="0"/>
                      <w:marTop w:val="0"/>
                      <w:marBottom w:val="0"/>
                      <w:divBdr>
                        <w:top w:val="none" w:sz="0" w:space="0" w:color="auto"/>
                        <w:left w:val="none" w:sz="0" w:space="0" w:color="auto"/>
                        <w:bottom w:val="none" w:sz="0" w:space="0" w:color="auto"/>
                        <w:right w:val="none" w:sz="0" w:space="0" w:color="auto"/>
                      </w:divBdr>
                    </w:div>
                  </w:divsChild>
                </w:div>
                <w:div w:id="661471163">
                  <w:marLeft w:val="0"/>
                  <w:marRight w:val="0"/>
                  <w:marTop w:val="0"/>
                  <w:marBottom w:val="0"/>
                  <w:divBdr>
                    <w:top w:val="none" w:sz="0" w:space="0" w:color="auto"/>
                    <w:left w:val="none" w:sz="0" w:space="0" w:color="auto"/>
                    <w:bottom w:val="none" w:sz="0" w:space="0" w:color="auto"/>
                    <w:right w:val="none" w:sz="0" w:space="0" w:color="auto"/>
                  </w:divBdr>
                  <w:divsChild>
                    <w:div w:id="2084796502">
                      <w:marLeft w:val="0"/>
                      <w:marRight w:val="0"/>
                      <w:marTop w:val="0"/>
                      <w:marBottom w:val="0"/>
                      <w:divBdr>
                        <w:top w:val="none" w:sz="0" w:space="0" w:color="auto"/>
                        <w:left w:val="none" w:sz="0" w:space="0" w:color="auto"/>
                        <w:bottom w:val="none" w:sz="0" w:space="0" w:color="auto"/>
                        <w:right w:val="none" w:sz="0" w:space="0" w:color="auto"/>
                      </w:divBdr>
                    </w:div>
                  </w:divsChild>
                </w:div>
                <w:div w:id="1458521435">
                  <w:marLeft w:val="0"/>
                  <w:marRight w:val="0"/>
                  <w:marTop w:val="0"/>
                  <w:marBottom w:val="0"/>
                  <w:divBdr>
                    <w:top w:val="none" w:sz="0" w:space="0" w:color="auto"/>
                    <w:left w:val="none" w:sz="0" w:space="0" w:color="auto"/>
                    <w:bottom w:val="none" w:sz="0" w:space="0" w:color="auto"/>
                    <w:right w:val="none" w:sz="0" w:space="0" w:color="auto"/>
                  </w:divBdr>
                  <w:divsChild>
                    <w:div w:id="243413224">
                      <w:marLeft w:val="0"/>
                      <w:marRight w:val="0"/>
                      <w:marTop w:val="0"/>
                      <w:marBottom w:val="0"/>
                      <w:divBdr>
                        <w:top w:val="none" w:sz="0" w:space="0" w:color="auto"/>
                        <w:left w:val="none" w:sz="0" w:space="0" w:color="auto"/>
                        <w:bottom w:val="none" w:sz="0" w:space="0" w:color="auto"/>
                        <w:right w:val="none" w:sz="0" w:space="0" w:color="auto"/>
                      </w:divBdr>
                    </w:div>
                  </w:divsChild>
                </w:div>
                <w:div w:id="1877349365">
                  <w:marLeft w:val="0"/>
                  <w:marRight w:val="0"/>
                  <w:marTop w:val="0"/>
                  <w:marBottom w:val="0"/>
                  <w:divBdr>
                    <w:top w:val="none" w:sz="0" w:space="0" w:color="auto"/>
                    <w:left w:val="none" w:sz="0" w:space="0" w:color="auto"/>
                    <w:bottom w:val="none" w:sz="0" w:space="0" w:color="auto"/>
                    <w:right w:val="none" w:sz="0" w:space="0" w:color="auto"/>
                  </w:divBdr>
                  <w:divsChild>
                    <w:div w:id="1304459359">
                      <w:marLeft w:val="0"/>
                      <w:marRight w:val="0"/>
                      <w:marTop w:val="0"/>
                      <w:marBottom w:val="0"/>
                      <w:divBdr>
                        <w:top w:val="none" w:sz="0" w:space="0" w:color="auto"/>
                        <w:left w:val="none" w:sz="0" w:space="0" w:color="auto"/>
                        <w:bottom w:val="none" w:sz="0" w:space="0" w:color="auto"/>
                        <w:right w:val="none" w:sz="0" w:space="0" w:color="auto"/>
                      </w:divBdr>
                    </w:div>
                  </w:divsChild>
                </w:div>
                <w:div w:id="428307531">
                  <w:marLeft w:val="0"/>
                  <w:marRight w:val="0"/>
                  <w:marTop w:val="0"/>
                  <w:marBottom w:val="0"/>
                  <w:divBdr>
                    <w:top w:val="none" w:sz="0" w:space="0" w:color="auto"/>
                    <w:left w:val="none" w:sz="0" w:space="0" w:color="auto"/>
                    <w:bottom w:val="none" w:sz="0" w:space="0" w:color="auto"/>
                    <w:right w:val="none" w:sz="0" w:space="0" w:color="auto"/>
                  </w:divBdr>
                  <w:divsChild>
                    <w:div w:id="935867763">
                      <w:marLeft w:val="0"/>
                      <w:marRight w:val="0"/>
                      <w:marTop w:val="0"/>
                      <w:marBottom w:val="0"/>
                      <w:divBdr>
                        <w:top w:val="none" w:sz="0" w:space="0" w:color="auto"/>
                        <w:left w:val="none" w:sz="0" w:space="0" w:color="auto"/>
                        <w:bottom w:val="none" w:sz="0" w:space="0" w:color="auto"/>
                        <w:right w:val="none" w:sz="0" w:space="0" w:color="auto"/>
                      </w:divBdr>
                    </w:div>
                  </w:divsChild>
                </w:div>
                <w:div w:id="1653484603">
                  <w:marLeft w:val="0"/>
                  <w:marRight w:val="0"/>
                  <w:marTop w:val="0"/>
                  <w:marBottom w:val="0"/>
                  <w:divBdr>
                    <w:top w:val="none" w:sz="0" w:space="0" w:color="auto"/>
                    <w:left w:val="none" w:sz="0" w:space="0" w:color="auto"/>
                    <w:bottom w:val="none" w:sz="0" w:space="0" w:color="auto"/>
                    <w:right w:val="none" w:sz="0" w:space="0" w:color="auto"/>
                  </w:divBdr>
                  <w:divsChild>
                    <w:div w:id="350377619">
                      <w:marLeft w:val="0"/>
                      <w:marRight w:val="0"/>
                      <w:marTop w:val="0"/>
                      <w:marBottom w:val="0"/>
                      <w:divBdr>
                        <w:top w:val="none" w:sz="0" w:space="0" w:color="auto"/>
                        <w:left w:val="none" w:sz="0" w:space="0" w:color="auto"/>
                        <w:bottom w:val="none" w:sz="0" w:space="0" w:color="auto"/>
                        <w:right w:val="none" w:sz="0" w:space="0" w:color="auto"/>
                      </w:divBdr>
                    </w:div>
                  </w:divsChild>
                </w:div>
                <w:div w:id="595670336">
                  <w:marLeft w:val="0"/>
                  <w:marRight w:val="0"/>
                  <w:marTop w:val="0"/>
                  <w:marBottom w:val="0"/>
                  <w:divBdr>
                    <w:top w:val="none" w:sz="0" w:space="0" w:color="auto"/>
                    <w:left w:val="none" w:sz="0" w:space="0" w:color="auto"/>
                    <w:bottom w:val="none" w:sz="0" w:space="0" w:color="auto"/>
                    <w:right w:val="none" w:sz="0" w:space="0" w:color="auto"/>
                  </w:divBdr>
                  <w:divsChild>
                    <w:div w:id="1860700121">
                      <w:marLeft w:val="0"/>
                      <w:marRight w:val="0"/>
                      <w:marTop w:val="0"/>
                      <w:marBottom w:val="0"/>
                      <w:divBdr>
                        <w:top w:val="none" w:sz="0" w:space="0" w:color="auto"/>
                        <w:left w:val="none" w:sz="0" w:space="0" w:color="auto"/>
                        <w:bottom w:val="none" w:sz="0" w:space="0" w:color="auto"/>
                        <w:right w:val="none" w:sz="0" w:space="0" w:color="auto"/>
                      </w:divBdr>
                    </w:div>
                  </w:divsChild>
                </w:div>
                <w:div w:id="1420252462">
                  <w:marLeft w:val="0"/>
                  <w:marRight w:val="0"/>
                  <w:marTop w:val="0"/>
                  <w:marBottom w:val="0"/>
                  <w:divBdr>
                    <w:top w:val="none" w:sz="0" w:space="0" w:color="auto"/>
                    <w:left w:val="none" w:sz="0" w:space="0" w:color="auto"/>
                    <w:bottom w:val="none" w:sz="0" w:space="0" w:color="auto"/>
                    <w:right w:val="none" w:sz="0" w:space="0" w:color="auto"/>
                  </w:divBdr>
                  <w:divsChild>
                    <w:div w:id="1852645957">
                      <w:marLeft w:val="0"/>
                      <w:marRight w:val="0"/>
                      <w:marTop w:val="0"/>
                      <w:marBottom w:val="0"/>
                      <w:divBdr>
                        <w:top w:val="none" w:sz="0" w:space="0" w:color="auto"/>
                        <w:left w:val="none" w:sz="0" w:space="0" w:color="auto"/>
                        <w:bottom w:val="none" w:sz="0" w:space="0" w:color="auto"/>
                        <w:right w:val="none" w:sz="0" w:space="0" w:color="auto"/>
                      </w:divBdr>
                    </w:div>
                  </w:divsChild>
                </w:div>
                <w:div w:id="489635234">
                  <w:marLeft w:val="0"/>
                  <w:marRight w:val="0"/>
                  <w:marTop w:val="0"/>
                  <w:marBottom w:val="0"/>
                  <w:divBdr>
                    <w:top w:val="none" w:sz="0" w:space="0" w:color="auto"/>
                    <w:left w:val="none" w:sz="0" w:space="0" w:color="auto"/>
                    <w:bottom w:val="none" w:sz="0" w:space="0" w:color="auto"/>
                    <w:right w:val="none" w:sz="0" w:space="0" w:color="auto"/>
                  </w:divBdr>
                  <w:divsChild>
                    <w:div w:id="1737776525">
                      <w:marLeft w:val="0"/>
                      <w:marRight w:val="0"/>
                      <w:marTop w:val="0"/>
                      <w:marBottom w:val="0"/>
                      <w:divBdr>
                        <w:top w:val="none" w:sz="0" w:space="0" w:color="auto"/>
                        <w:left w:val="none" w:sz="0" w:space="0" w:color="auto"/>
                        <w:bottom w:val="none" w:sz="0" w:space="0" w:color="auto"/>
                        <w:right w:val="none" w:sz="0" w:space="0" w:color="auto"/>
                      </w:divBdr>
                    </w:div>
                  </w:divsChild>
                </w:div>
                <w:div w:id="1217935285">
                  <w:marLeft w:val="0"/>
                  <w:marRight w:val="0"/>
                  <w:marTop w:val="0"/>
                  <w:marBottom w:val="0"/>
                  <w:divBdr>
                    <w:top w:val="none" w:sz="0" w:space="0" w:color="auto"/>
                    <w:left w:val="none" w:sz="0" w:space="0" w:color="auto"/>
                    <w:bottom w:val="none" w:sz="0" w:space="0" w:color="auto"/>
                    <w:right w:val="none" w:sz="0" w:space="0" w:color="auto"/>
                  </w:divBdr>
                  <w:divsChild>
                    <w:div w:id="2100514620">
                      <w:marLeft w:val="0"/>
                      <w:marRight w:val="0"/>
                      <w:marTop w:val="0"/>
                      <w:marBottom w:val="0"/>
                      <w:divBdr>
                        <w:top w:val="none" w:sz="0" w:space="0" w:color="auto"/>
                        <w:left w:val="none" w:sz="0" w:space="0" w:color="auto"/>
                        <w:bottom w:val="none" w:sz="0" w:space="0" w:color="auto"/>
                        <w:right w:val="none" w:sz="0" w:space="0" w:color="auto"/>
                      </w:divBdr>
                    </w:div>
                  </w:divsChild>
                </w:div>
                <w:div w:id="1888105046">
                  <w:marLeft w:val="0"/>
                  <w:marRight w:val="0"/>
                  <w:marTop w:val="0"/>
                  <w:marBottom w:val="0"/>
                  <w:divBdr>
                    <w:top w:val="none" w:sz="0" w:space="0" w:color="auto"/>
                    <w:left w:val="none" w:sz="0" w:space="0" w:color="auto"/>
                    <w:bottom w:val="none" w:sz="0" w:space="0" w:color="auto"/>
                    <w:right w:val="none" w:sz="0" w:space="0" w:color="auto"/>
                  </w:divBdr>
                  <w:divsChild>
                    <w:div w:id="1110318188">
                      <w:marLeft w:val="0"/>
                      <w:marRight w:val="0"/>
                      <w:marTop w:val="0"/>
                      <w:marBottom w:val="0"/>
                      <w:divBdr>
                        <w:top w:val="none" w:sz="0" w:space="0" w:color="auto"/>
                        <w:left w:val="none" w:sz="0" w:space="0" w:color="auto"/>
                        <w:bottom w:val="none" w:sz="0" w:space="0" w:color="auto"/>
                        <w:right w:val="none" w:sz="0" w:space="0" w:color="auto"/>
                      </w:divBdr>
                    </w:div>
                  </w:divsChild>
                </w:div>
                <w:div w:id="1829974887">
                  <w:marLeft w:val="0"/>
                  <w:marRight w:val="0"/>
                  <w:marTop w:val="0"/>
                  <w:marBottom w:val="0"/>
                  <w:divBdr>
                    <w:top w:val="none" w:sz="0" w:space="0" w:color="auto"/>
                    <w:left w:val="none" w:sz="0" w:space="0" w:color="auto"/>
                    <w:bottom w:val="none" w:sz="0" w:space="0" w:color="auto"/>
                    <w:right w:val="none" w:sz="0" w:space="0" w:color="auto"/>
                  </w:divBdr>
                  <w:divsChild>
                    <w:div w:id="341783161">
                      <w:marLeft w:val="0"/>
                      <w:marRight w:val="0"/>
                      <w:marTop w:val="0"/>
                      <w:marBottom w:val="0"/>
                      <w:divBdr>
                        <w:top w:val="none" w:sz="0" w:space="0" w:color="auto"/>
                        <w:left w:val="none" w:sz="0" w:space="0" w:color="auto"/>
                        <w:bottom w:val="none" w:sz="0" w:space="0" w:color="auto"/>
                        <w:right w:val="none" w:sz="0" w:space="0" w:color="auto"/>
                      </w:divBdr>
                    </w:div>
                  </w:divsChild>
                </w:div>
                <w:div w:id="871042814">
                  <w:marLeft w:val="0"/>
                  <w:marRight w:val="0"/>
                  <w:marTop w:val="0"/>
                  <w:marBottom w:val="0"/>
                  <w:divBdr>
                    <w:top w:val="none" w:sz="0" w:space="0" w:color="auto"/>
                    <w:left w:val="none" w:sz="0" w:space="0" w:color="auto"/>
                    <w:bottom w:val="none" w:sz="0" w:space="0" w:color="auto"/>
                    <w:right w:val="none" w:sz="0" w:space="0" w:color="auto"/>
                  </w:divBdr>
                  <w:divsChild>
                    <w:div w:id="397482134">
                      <w:marLeft w:val="0"/>
                      <w:marRight w:val="0"/>
                      <w:marTop w:val="0"/>
                      <w:marBottom w:val="0"/>
                      <w:divBdr>
                        <w:top w:val="none" w:sz="0" w:space="0" w:color="auto"/>
                        <w:left w:val="none" w:sz="0" w:space="0" w:color="auto"/>
                        <w:bottom w:val="none" w:sz="0" w:space="0" w:color="auto"/>
                        <w:right w:val="none" w:sz="0" w:space="0" w:color="auto"/>
                      </w:divBdr>
                    </w:div>
                  </w:divsChild>
                </w:div>
                <w:div w:id="1341732487">
                  <w:marLeft w:val="0"/>
                  <w:marRight w:val="0"/>
                  <w:marTop w:val="0"/>
                  <w:marBottom w:val="0"/>
                  <w:divBdr>
                    <w:top w:val="none" w:sz="0" w:space="0" w:color="auto"/>
                    <w:left w:val="none" w:sz="0" w:space="0" w:color="auto"/>
                    <w:bottom w:val="none" w:sz="0" w:space="0" w:color="auto"/>
                    <w:right w:val="none" w:sz="0" w:space="0" w:color="auto"/>
                  </w:divBdr>
                  <w:divsChild>
                    <w:div w:id="1084303952">
                      <w:marLeft w:val="0"/>
                      <w:marRight w:val="0"/>
                      <w:marTop w:val="0"/>
                      <w:marBottom w:val="0"/>
                      <w:divBdr>
                        <w:top w:val="none" w:sz="0" w:space="0" w:color="auto"/>
                        <w:left w:val="none" w:sz="0" w:space="0" w:color="auto"/>
                        <w:bottom w:val="none" w:sz="0" w:space="0" w:color="auto"/>
                        <w:right w:val="none" w:sz="0" w:space="0" w:color="auto"/>
                      </w:divBdr>
                    </w:div>
                  </w:divsChild>
                </w:div>
                <w:div w:id="38600956">
                  <w:marLeft w:val="0"/>
                  <w:marRight w:val="0"/>
                  <w:marTop w:val="0"/>
                  <w:marBottom w:val="0"/>
                  <w:divBdr>
                    <w:top w:val="none" w:sz="0" w:space="0" w:color="auto"/>
                    <w:left w:val="none" w:sz="0" w:space="0" w:color="auto"/>
                    <w:bottom w:val="none" w:sz="0" w:space="0" w:color="auto"/>
                    <w:right w:val="none" w:sz="0" w:space="0" w:color="auto"/>
                  </w:divBdr>
                  <w:divsChild>
                    <w:div w:id="19258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2020-05-05T17:29:00Z</cp:lastPrinted>
  <dcterms:created xsi:type="dcterms:W3CDTF">2020-02-04T13:19:00Z</dcterms:created>
  <dcterms:modified xsi:type="dcterms:W3CDTF">2020-05-09T20:44:00Z</dcterms:modified>
</cp:coreProperties>
</file>